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36B1" w14:textId="7333F74E" w:rsidR="007C5C58" w:rsidRPr="00810C5E" w:rsidRDefault="00B86943" w:rsidP="00920627">
      <w:pPr>
        <w:rPr>
          <w:b/>
          <w:bCs/>
        </w:rPr>
      </w:pPr>
      <w:r w:rsidRPr="00AA3884">
        <w:rPr>
          <w:noProof/>
          <w:lang w:eastAsia="es-ES_tradnl"/>
        </w:rPr>
        <w:drawing>
          <wp:anchor distT="0" distB="0" distL="114300" distR="114300" simplePos="0" relativeHeight="251658240" behindDoc="0" locked="0" layoutInCell="1" allowOverlap="1" wp14:anchorId="45CAF442" wp14:editId="666E4346">
            <wp:simplePos x="0" y="0"/>
            <wp:positionH relativeFrom="margin">
              <wp:align>center</wp:align>
            </wp:positionH>
            <wp:positionV relativeFrom="paragraph">
              <wp:posOffset>0</wp:posOffset>
            </wp:positionV>
            <wp:extent cx="2102400" cy="1177200"/>
            <wp:effectExtent l="0" t="0" r="0" b="444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2400" cy="1177200"/>
                    </a:xfrm>
                    <a:prstGeom prst="rect">
                      <a:avLst/>
                    </a:prstGeom>
                  </pic:spPr>
                </pic:pic>
              </a:graphicData>
            </a:graphic>
          </wp:anchor>
        </w:drawing>
      </w:r>
    </w:p>
    <w:p w14:paraId="3E4F9F94" w14:textId="6128BEFE" w:rsidR="00920627" w:rsidRPr="00810C5E" w:rsidRDefault="003C677B" w:rsidP="003C677B">
      <w:pPr>
        <w:rPr>
          <w:b/>
          <w:bCs/>
        </w:rPr>
      </w:pPr>
      <w:r>
        <w:rPr>
          <w:b/>
          <w:bCs/>
        </w:rPr>
        <w:br w:type="textWrapping" w:clear="all"/>
      </w:r>
    </w:p>
    <w:p w14:paraId="6E415850" w14:textId="77777777" w:rsidR="006F2828" w:rsidRPr="006F2828" w:rsidRDefault="006F2828" w:rsidP="006F2828">
      <w:pPr>
        <w:jc w:val="center"/>
        <w:rPr>
          <w:b/>
          <w:bCs/>
        </w:rPr>
      </w:pPr>
      <w:r w:rsidRPr="006F2828">
        <w:rPr>
          <w:b/>
          <w:bCs/>
        </w:rPr>
        <w:t>Orosur Mining Inc.</w:t>
      </w:r>
    </w:p>
    <w:p w14:paraId="172F88ED" w14:textId="4FE32008" w:rsidR="00920627" w:rsidRDefault="006F2828" w:rsidP="00676A03">
      <w:pPr>
        <w:rPr>
          <w:b/>
          <w:bCs/>
        </w:rPr>
      </w:pPr>
      <w:r>
        <w:rPr>
          <w:b/>
          <w:bCs/>
        </w:rPr>
        <w:t xml:space="preserve">                                     </w:t>
      </w:r>
      <w:r w:rsidRPr="006F2828">
        <w:rPr>
          <w:b/>
          <w:bCs/>
        </w:rPr>
        <w:t xml:space="preserve">Results for </w:t>
      </w:r>
      <w:r w:rsidR="0084463C">
        <w:rPr>
          <w:b/>
          <w:bCs/>
        </w:rPr>
        <w:t>Second</w:t>
      </w:r>
      <w:r w:rsidRPr="006F2828">
        <w:rPr>
          <w:b/>
          <w:bCs/>
        </w:rPr>
        <w:t xml:space="preserve"> Quarter ended </w:t>
      </w:r>
      <w:r w:rsidR="0084463C">
        <w:rPr>
          <w:b/>
          <w:bCs/>
        </w:rPr>
        <w:t>November 30</w:t>
      </w:r>
      <w:r w:rsidR="0057565F">
        <w:rPr>
          <w:b/>
          <w:bCs/>
        </w:rPr>
        <w:t>th</w:t>
      </w:r>
      <w:r w:rsidRPr="006F2828">
        <w:rPr>
          <w:b/>
          <w:bCs/>
        </w:rPr>
        <w:t>, 202</w:t>
      </w:r>
      <w:r w:rsidR="0057565F">
        <w:rPr>
          <w:b/>
          <w:bCs/>
        </w:rPr>
        <w:t>5</w:t>
      </w:r>
    </w:p>
    <w:p w14:paraId="103C6607" w14:textId="77777777" w:rsidR="00676A03" w:rsidRPr="00676A03" w:rsidRDefault="00676A03" w:rsidP="00676A03">
      <w:pPr>
        <w:rPr>
          <w:b/>
          <w:bCs/>
        </w:rPr>
      </w:pPr>
    </w:p>
    <w:p w14:paraId="1954AA9E" w14:textId="66E0D7F8" w:rsidR="003E5DEF" w:rsidRDefault="00920627" w:rsidP="00195617">
      <w:pPr>
        <w:spacing w:before="100" w:beforeAutospacing="1" w:after="100" w:afterAutospacing="1" w:line="259" w:lineRule="auto"/>
        <w:jc w:val="both"/>
        <w:rPr>
          <w:rFonts w:ascii="Arial" w:eastAsia="SimSun" w:hAnsi="Arial" w:cs="Arial"/>
          <w:color w:val="000000"/>
          <w:sz w:val="20"/>
          <w:szCs w:val="20"/>
          <w:lang w:val="en-CA" w:eastAsia="ar-SA"/>
        </w:rPr>
      </w:pPr>
      <w:r w:rsidRPr="00AA3884">
        <w:rPr>
          <w:rFonts w:ascii="Arial" w:eastAsia="SimSun" w:hAnsi="Arial" w:cs="Arial"/>
          <w:b/>
          <w:bCs/>
          <w:color w:val="000000"/>
          <w:sz w:val="20"/>
          <w:szCs w:val="20"/>
          <w:lang w:eastAsia="ar-SA"/>
        </w:rPr>
        <w:t xml:space="preserve">London, </w:t>
      </w:r>
      <w:r w:rsidR="0084463C">
        <w:rPr>
          <w:rFonts w:ascii="Arial" w:eastAsia="SimSun" w:hAnsi="Arial" w:cs="Arial"/>
          <w:b/>
          <w:bCs/>
          <w:color w:val="000000"/>
          <w:sz w:val="20"/>
          <w:szCs w:val="20"/>
          <w:lang w:eastAsia="ar-SA"/>
        </w:rPr>
        <w:t>January</w:t>
      </w:r>
      <w:r w:rsidR="006F2828">
        <w:rPr>
          <w:rFonts w:ascii="Arial" w:eastAsia="SimSun" w:hAnsi="Arial" w:cs="Arial"/>
          <w:b/>
          <w:bCs/>
          <w:color w:val="000000"/>
          <w:sz w:val="20"/>
          <w:szCs w:val="20"/>
          <w:lang w:eastAsia="ar-SA"/>
        </w:rPr>
        <w:t xml:space="preserve"> </w:t>
      </w:r>
      <w:r w:rsidR="00250446">
        <w:rPr>
          <w:rFonts w:ascii="Arial" w:eastAsia="SimSun" w:hAnsi="Arial" w:cs="Arial"/>
          <w:b/>
          <w:bCs/>
          <w:color w:val="000000"/>
          <w:sz w:val="20"/>
          <w:szCs w:val="20"/>
          <w:lang w:eastAsia="ar-SA"/>
        </w:rPr>
        <w:t>2</w:t>
      </w:r>
      <w:r w:rsidR="00CB00F2">
        <w:rPr>
          <w:rFonts w:ascii="Arial" w:eastAsia="SimSun" w:hAnsi="Arial" w:cs="Arial"/>
          <w:b/>
          <w:bCs/>
          <w:color w:val="000000"/>
          <w:sz w:val="20"/>
          <w:szCs w:val="20"/>
          <w:lang w:eastAsia="ar-SA"/>
        </w:rPr>
        <w:t>6</w:t>
      </w:r>
      <w:r w:rsidR="006F2828">
        <w:rPr>
          <w:rFonts w:ascii="Arial" w:eastAsia="SimSun" w:hAnsi="Arial" w:cs="Arial"/>
          <w:b/>
          <w:bCs/>
          <w:color w:val="000000"/>
          <w:sz w:val="20"/>
          <w:szCs w:val="20"/>
          <w:lang w:eastAsia="ar-SA"/>
        </w:rPr>
        <w:t>th</w:t>
      </w:r>
      <w:r w:rsidRPr="00AA3884">
        <w:rPr>
          <w:rFonts w:ascii="Arial" w:eastAsia="SimSun" w:hAnsi="Arial" w:cs="Arial"/>
          <w:b/>
          <w:bCs/>
          <w:color w:val="000000"/>
          <w:sz w:val="20"/>
          <w:szCs w:val="20"/>
          <w:lang w:eastAsia="ar-SA"/>
        </w:rPr>
        <w:t>, 202</w:t>
      </w:r>
      <w:r w:rsidR="00CB00F2">
        <w:rPr>
          <w:rFonts w:ascii="Arial" w:eastAsia="SimSun" w:hAnsi="Arial" w:cs="Arial"/>
          <w:b/>
          <w:bCs/>
          <w:color w:val="000000"/>
          <w:sz w:val="20"/>
          <w:szCs w:val="20"/>
          <w:lang w:eastAsia="ar-SA"/>
        </w:rPr>
        <w:t>6</w:t>
      </w:r>
      <w:r w:rsidRPr="00AA3884">
        <w:rPr>
          <w:rFonts w:ascii="Arial" w:eastAsia="SimSun" w:hAnsi="Arial" w:cs="Arial"/>
          <w:color w:val="000000"/>
          <w:sz w:val="20"/>
          <w:szCs w:val="20"/>
          <w:lang w:eastAsia="ar-SA"/>
        </w:rPr>
        <w:t>. Orosur Mining Inc. (“Orosur” or “the Company”) (TSX-V</w:t>
      </w:r>
      <w:r w:rsidR="0083688C">
        <w:rPr>
          <w:rFonts w:ascii="Arial" w:eastAsia="SimSun" w:hAnsi="Arial" w:cs="Arial"/>
          <w:color w:val="000000"/>
          <w:sz w:val="20"/>
          <w:szCs w:val="20"/>
          <w:lang w:eastAsia="ar-SA"/>
        </w:rPr>
        <w:t>/AIM</w:t>
      </w:r>
      <w:r w:rsidRPr="00AA3884">
        <w:rPr>
          <w:rFonts w:ascii="Arial" w:eastAsia="SimSun" w:hAnsi="Arial" w:cs="Arial"/>
          <w:color w:val="000000"/>
          <w:sz w:val="20"/>
          <w:szCs w:val="20"/>
          <w:lang w:eastAsia="ar-SA"/>
        </w:rPr>
        <w:t xml:space="preserve">: OMI) </w:t>
      </w:r>
      <w:r w:rsidR="006F2828">
        <w:rPr>
          <w:rFonts w:ascii="Arial" w:eastAsia="SimSun" w:hAnsi="Arial" w:cs="Arial"/>
          <w:color w:val="000000"/>
          <w:sz w:val="20"/>
          <w:szCs w:val="20"/>
          <w:lang w:eastAsia="ar-SA"/>
        </w:rPr>
        <w:t>the minerals developer and explorer with operations in Colombia</w:t>
      </w:r>
      <w:r w:rsidR="00CB00F2">
        <w:rPr>
          <w:rFonts w:ascii="Arial" w:eastAsia="SimSun" w:hAnsi="Arial" w:cs="Arial"/>
          <w:color w:val="000000"/>
          <w:sz w:val="20"/>
          <w:szCs w:val="20"/>
          <w:lang w:eastAsia="ar-SA"/>
        </w:rPr>
        <w:t xml:space="preserve"> and </w:t>
      </w:r>
      <w:r w:rsidR="002C51DC">
        <w:rPr>
          <w:rFonts w:ascii="Arial" w:eastAsia="SimSun" w:hAnsi="Arial" w:cs="Arial"/>
          <w:color w:val="000000"/>
          <w:sz w:val="20"/>
          <w:szCs w:val="20"/>
          <w:lang w:eastAsia="ar-SA"/>
        </w:rPr>
        <w:t>Argentina</w:t>
      </w:r>
      <w:r w:rsidR="00904FB6">
        <w:rPr>
          <w:rFonts w:ascii="Arial" w:eastAsia="SimSun" w:hAnsi="Arial" w:cs="Arial"/>
          <w:color w:val="000000"/>
          <w:sz w:val="20"/>
          <w:szCs w:val="20"/>
          <w:lang w:eastAsia="ar-SA"/>
        </w:rPr>
        <w:t>,</w:t>
      </w:r>
      <w:r w:rsidR="006F2828">
        <w:rPr>
          <w:rFonts w:ascii="Arial" w:eastAsia="SimSun" w:hAnsi="Arial" w:cs="Arial"/>
          <w:color w:val="000000"/>
          <w:sz w:val="20"/>
          <w:szCs w:val="20"/>
          <w:lang w:eastAsia="ar-SA"/>
        </w:rPr>
        <w:t xml:space="preserve"> </w:t>
      </w:r>
      <w:r w:rsidR="006F2828" w:rsidRPr="006F2828">
        <w:rPr>
          <w:rFonts w:ascii="Arial" w:eastAsia="SimSun" w:hAnsi="Arial" w:cs="Arial"/>
          <w:color w:val="000000"/>
          <w:sz w:val="20"/>
          <w:szCs w:val="20"/>
          <w:lang w:val="en-CA" w:eastAsia="ar-SA"/>
        </w:rPr>
        <w:t xml:space="preserve">announces its unaudited results for the quarter ended </w:t>
      </w:r>
      <w:r w:rsidR="00CB00F2">
        <w:rPr>
          <w:rFonts w:ascii="Arial" w:eastAsia="SimSun" w:hAnsi="Arial" w:cs="Arial"/>
          <w:color w:val="000000"/>
          <w:sz w:val="20"/>
          <w:szCs w:val="20"/>
          <w:lang w:val="en-CA" w:eastAsia="ar-SA"/>
        </w:rPr>
        <w:t>November</w:t>
      </w:r>
      <w:r w:rsidR="00D651EC">
        <w:rPr>
          <w:rFonts w:ascii="Arial" w:eastAsia="SimSun" w:hAnsi="Arial" w:cs="Arial"/>
          <w:color w:val="000000"/>
          <w:sz w:val="20"/>
          <w:szCs w:val="20"/>
          <w:lang w:val="en-CA" w:eastAsia="ar-SA"/>
        </w:rPr>
        <w:t xml:space="preserve"> </w:t>
      </w:r>
      <w:r w:rsidR="00CB00F2">
        <w:rPr>
          <w:rFonts w:ascii="Arial" w:eastAsia="SimSun" w:hAnsi="Arial" w:cs="Arial"/>
          <w:color w:val="000000"/>
          <w:sz w:val="20"/>
          <w:szCs w:val="20"/>
          <w:lang w:val="en-CA" w:eastAsia="ar-SA"/>
        </w:rPr>
        <w:t>30</w:t>
      </w:r>
      <w:r w:rsidR="0083688C">
        <w:rPr>
          <w:rFonts w:ascii="Arial" w:eastAsia="SimSun" w:hAnsi="Arial" w:cs="Arial"/>
          <w:color w:val="000000"/>
          <w:sz w:val="20"/>
          <w:szCs w:val="20"/>
          <w:lang w:val="en-CA" w:eastAsia="ar-SA"/>
        </w:rPr>
        <w:t>th</w:t>
      </w:r>
      <w:r w:rsidR="006F2828" w:rsidRPr="006F2828">
        <w:rPr>
          <w:rFonts w:ascii="Arial" w:eastAsia="SimSun" w:hAnsi="Arial" w:cs="Arial"/>
          <w:color w:val="000000"/>
          <w:sz w:val="20"/>
          <w:szCs w:val="20"/>
          <w:lang w:val="en-CA" w:eastAsia="ar-SA"/>
        </w:rPr>
        <w:t>, 202</w:t>
      </w:r>
      <w:r w:rsidR="0083688C">
        <w:rPr>
          <w:rFonts w:ascii="Arial" w:eastAsia="SimSun" w:hAnsi="Arial" w:cs="Arial"/>
          <w:color w:val="000000"/>
          <w:sz w:val="20"/>
          <w:szCs w:val="20"/>
          <w:lang w:val="en-CA" w:eastAsia="ar-SA"/>
        </w:rPr>
        <w:t>5</w:t>
      </w:r>
      <w:r w:rsidR="006F2828" w:rsidRPr="006F2828">
        <w:rPr>
          <w:rFonts w:ascii="Arial" w:eastAsia="SimSun" w:hAnsi="Arial" w:cs="Arial"/>
          <w:color w:val="000000"/>
          <w:sz w:val="20"/>
          <w:szCs w:val="20"/>
          <w:lang w:val="en-CA" w:eastAsia="ar-SA"/>
        </w:rPr>
        <w:t xml:space="preserve">. All dollar figures are stated in US$ unless otherwise noted. </w:t>
      </w:r>
    </w:p>
    <w:p w14:paraId="15A49C81" w14:textId="4ED25A20" w:rsidR="00920627" w:rsidRPr="00AA3884" w:rsidRDefault="006F2828" w:rsidP="00195617">
      <w:pPr>
        <w:spacing w:before="100" w:beforeAutospacing="1" w:after="100" w:afterAutospacing="1" w:line="259" w:lineRule="auto"/>
        <w:jc w:val="both"/>
        <w:rPr>
          <w:rFonts w:ascii="Arial" w:eastAsia="SimSun" w:hAnsi="Arial" w:cs="Arial"/>
          <w:color w:val="000000"/>
          <w:sz w:val="20"/>
          <w:szCs w:val="20"/>
          <w:lang w:eastAsia="ar-SA"/>
        </w:rPr>
      </w:pPr>
      <w:r w:rsidRPr="006F2828">
        <w:rPr>
          <w:rFonts w:ascii="Arial" w:eastAsia="SimSun" w:hAnsi="Arial" w:cs="Arial"/>
          <w:color w:val="000000"/>
          <w:sz w:val="20"/>
          <w:szCs w:val="20"/>
          <w:lang w:val="en-CA" w:eastAsia="ar-SA"/>
        </w:rPr>
        <w:t xml:space="preserve">The unaudited condensed </w:t>
      </w:r>
      <w:r w:rsidR="00CB3080">
        <w:rPr>
          <w:rFonts w:ascii="Arial" w:eastAsia="SimSun" w:hAnsi="Arial" w:cs="Arial"/>
          <w:color w:val="000000"/>
          <w:sz w:val="20"/>
          <w:szCs w:val="20"/>
          <w:lang w:val="en-CA" w:eastAsia="ar-SA"/>
        </w:rPr>
        <w:t xml:space="preserve">interim </w:t>
      </w:r>
      <w:r w:rsidRPr="006F2828">
        <w:rPr>
          <w:rFonts w:ascii="Arial" w:eastAsia="SimSun" w:hAnsi="Arial" w:cs="Arial"/>
          <w:color w:val="000000"/>
          <w:sz w:val="20"/>
          <w:szCs w:val="20"/>
          <w:lang w:val="en-CA" w:eastAsia="ar-SA"/>
        </w:rPr>
        <w:t xml:space="preserve">financial statements of the Company for the quarter ended </w:t>
      </w:r>
      <w:r w:rsidR="00CB00F2">
        <w:rPr>
          <w:rFonts w:ascii="Arial" w:eastAsia="SimSun" w:hAnsi="Arial" w:cs="Arial"/>
          <w:color w:val="000000"/>
          <w:sz w:val="20"/>
          <w:szCs w:val="20"/>
          <w:lang w:val="en-CA" w:eastAsia="ar-SA"/>
        </w:rPr>
        <w:t>November 30</w:t>
      </w:r>
      <w:r w:rsidR="0083688C">
        <w:rPr>
          <w:rFonts w:ascii="Arial" w:eastAsia="SimSun" w:hAnsi="Arial" w:cs="Arial"/>
          <w:color w:val="000000"/>
          <w:sz w:val="20"/>
          <w:szCs w:val="20"/>
          <w:lang w:val="en-CA" w:eastAsia="ar-SA"/>
        </w:rPr>
        <w:t>th</w:t>
      </w:r>
      <w:r w:rsidRPr="006F2828">
        <w:rPr>
          <w:rFonts w:ascii="Arial" w:eastAsia="SimSun" w:hAnsi="Arial" w:cs="Arial"/>
          <w:color w:val="000000"/>
          <w:sz w:val="20"/>
          <w:szCs w:val="20"/>
          <w:lang w:val="en-CA" w:eastAsia="ar-SA"/>
        </w:rPr>
        <w:t>, 202</w:t>
      </w:r>
      <w:r w:rsidR="0083688C">
        <w:rPr>
          <w:rFonts w:ascii="Arial" w:eastAsia="SimSun" w:hAnsi="Arial" w:cs="Arial"/>
          <w:color w:val="000000"/>
          <w:sz w:val="20"/>
          <w:szCs w:val="20"/>
          <w:lang w:val="en-CA" w:eastAsia="ar-SA"/>
        </w:rPr>
        <w:t>5</w:t>
      </w:r>
      <w:r w:rsidRPr="006F2828">
        <w:rPr>
          <w:rFonts w:ascii="Arial" w:eastAsia="SimSun" w:hAnsi="Arial" w:cs="Arial"/>
          <w:color w:val="000000"/>
          <w:sz w:val="20"/>
          <w:szCs w:val="20"/>
          <w:lang w:val="en-CA" w:eastAsia="ar-SA"/>
        </w:rPr>
        <w:t xml:space="preserve"> and the related management’s discussion and analysis (“MD&amp;A”) have been filed and are available for review on </w:t>
      </w:r>
      <w:r w:rsidR="00920627" w:rsidRPr="00AA3884">
        <w:rPr>
          <w:rFonts w:ascii="Arial" w:eastAsia="SimSun" w:hAnsi="Arial" w:cs="Arial"/>
          <w:color w:val="000000"/>
          <w:sz w:val="20"/>
          <w:szCs w:val="20"/>
          <w:lang w:eastAsia="ar-SA"/>
        </w:rPr>
        <w:t>the SEDAR</w:t>
      </w:r>
      <w:r w:rsidR="00D067FD" w:rsidRPr="00AA3884">
        <w:rPr>
          <w:rFonts w:ascii="Arial" w:eastAsia="SimSun" w:hAnsi="Arial" w:cs="Arial"/>
          <w:color w:val="000000"/>
          <w:sz w:val="20"/>
          <w:szCs w:val="20"/>
          <w:lang w:eastAsia="ar-SA"/>
        </w:rPr>
        <w:t>+</w:t>
      </w:r>
      <w:r w:rsidR="00920627" w:rsidRPr="00AA3884">
        <w:rPr>
          <w:rFonts w:ascii="Arial" w:eastAsia="SimSun" w:hAnsi="Arial" w:cs="Arial"/>
          <w:color w:val="000000"/>
          <w:sz w:val="20"/>
          <w:szCs w:val="20"/>
          <w:lang w:eastAsia="ar-SA"/>
        </w:rPr>
        <w:t xml:space="preserve"> website at</w:t>
      </w:r>
      <w:r w:rsidR="00D067FD" w:rsidRPr="00AA3884">
        <w:rPr>
          <w:rFonts w:ascii="Arial" w:eastAsia="SimSun" w:hAnsi="Arial" w:cs="Arial"/>
          <w:color w:val="000000"/>
          <w:sz w:val="20"/>
          <w:szCs w:val="20"/>
          <w:lang w:eastAsia="ar-SA"/>
        </w:rPr>
        <w:t xml:space="preserve"> www.sedarplus.ca</w:t>
      </w:r>
      <w:r w:rsidR="00810C5E" w:rsidRPr="00AA3884">
        <w:rPr>
          <w:rFonts w:ascii="Arial" w:eastAsia="SimSun" w:hAnsi="Arial" w:cs="Arial"/>
          <w:color w:val="000000"/>
          <w:sz w:val="20"/>
          <w:szCs w:val="20"/>
          <w:lang w:eastAsia="ar-SA"/>
        </w:rPr>
        <w:t>.</w:t>
      </w:r>
      <w:r w:rsidR="00920627" w:rsidRPr="00AA3884">
        <w:rPr>
          <w:rFonts w:ascii="Arial" w:eastAsia="SimSun" w:hAnsi="Arial" w:cs="Arial"/>
          <w:color w:val="000000"/>
          <w:sz w:val="20"/>
          <w:szCs w:val="20"/>
          <w:lang w:eastAsia="ar-SA"/>
        </w:rPr>
        <w:t xml:space="preserve"> The financial statements and the MD&amp;A are also available on the Company’s website at </w:t>
      </w:r>
      <w:hyperlink r:id="rId12" w:history="1">
        <w:r w:rsidR="00920627" w:rsidRPr="00AA3884">
          <w:rPr>
            <w:rFonts w:ascii="Arial" w:eastAsia="SimSun" w:hAnsi="Arial" w:cs="Arial"/>
            <w:color w:val="000000"/>
            <w:sz w:val="20"/>
            <w:szCs w:val="20"/>
            <w:lang w:eastAsia="ar-SA"/>
          </w:rPr>
          <w:t>www.orosur.ca</w:t>
        </w:r>
      </w:hyperlink>
      <w:r w:rsidR="00920627" w:rsidRPr="00AA3884">
        <w:rPr>
          <w:rFonts w:ascii="Arial" w:eastAsia="SimSun" w:hAnsi="Arial" w:cs="Arial"/>
          <w:color w:val="000000"/>
          <w:sz w:val="20"/>
          <w:szCs w:val="20"/>
          <w:lang w:eastAsia="ar-SA"/>
        </w:rPr>
        <w:t>.</w:t>
      </w:r>
    </w:p>
    <w:p w14:paraId="6D77B5D5" w14:textId="366C7CAC" w:rsidR="00C16B7A" w:rsidRPr="00810C5E" w:rsidRDefault="00751253" w:rsidP="00195617">
      <w:pPr>
        <w:spacing w:before="100" w:beforeAutospacing="1" w:after="100" w:afterAutospacing="1" w:line="259" w:lineRule="auto"/>
        <w:jc w:val="both"/>
        <w:rPr>
          <w:rFonts w:ascii="Arial" w:hAnsi="Arial" w:cs="Arial"/>
          <w:color w:val="000000"/>
          <w:sz w:val="20"/>
          <w:szCs w:val="20"/>
        </w:rPr>
      </w:pPr>
      <w:r>
        <w:rPr>
          <w:rFonts w:ascii="Arial" w:hAnsi="Arial" w:cs="Arial"/>
          <w:color w:val="000000"/>
          <w:sz w:val="20"/>
          <w:szCs w:val="20"/>
        </w:rPr>
        <w:t xml:space="preserve">To view the PDF version of the financial statements please click here: [RNS TO INSERT LINK] </w:t>
      </w:r>
    </w:p>
    <w:p w14:paraId="4B3345FC" w14:textId="77777777" w:rsidR="00751253" w:rsidRDefault="00751253" w:rsidP="00195617">
      <w:pPr>
        <w:spacing w:before="100" w:beforeAutospacing="1" w:after="100" w:afterAutospacing="1" w:line="259" w:lineRule="auto"/>
        <w:jc w:val="both"/>
        <w:rPr>
          <w:rFonts w:ascii="Arial" w:hAnsi="Arial" w:cs="Arial"/>
          <w:color w:val="000000"/>
          <w:sz w:val="20"/>
          <w:szCs w:val="20"/>
        </w:rPr>
      </w:pPr>
      <w:r>
        <w:rPr>
          <w:rFonts w:ascii="Arial" w:hAnsi="Arial" w:cs="Arial"/>
          <w:color w:val="000000"/>
          <w:sz w:val="20"/>
          <w:szCs w:val="20"/>
        </w:rPr>
        <w:t xml:space="preserve">To view the PDF version of the MD&amp;A, please click here [RNS TO INSERT LINK] </w:t>
      </w:r>
    </w:p>
    <w:p w14:paraId="2608EE07" w14:textId="7AF7AE7E" w:rsidR="00C16B7A" w:rsidRPr="00AA3884" w:rsidRDefault="00751253" w:rsidP="00195617">
      <w:pPr>
        <w:spacing w:before="100" w:beforeAutospacing="1" w:after="100" w:afterAutospacing="1" w:line="259" w:lineRule="auto"/>
        <w:jc w:val="both"/>
        <w:rPr>
          <w:rFonts w:ascii="Arial" w:eastAsia="SimSun" w:hAnsi="Arial" w:cs="Arial"/>
          <w:color w:val="000000"/>
          <w:sz w:val="20"/>
          <w:szCs w:val="20"/>
          <w:lang w:eastAsia="ar-SA"/>
        </w:rPr>
      </w:pPr>
      <w:r>
        <w:rPr>
          <w:rFonts w:ascii="Arial" w:hAnsi="Arial" w:cs="Arial"/>
          <w:color w:val="000000"/>
          <w:sz w:val="20"/>
          <w:szCs w:val="20"/>
        </w:rPr>
        <w:t xml:space="preserve">Both </w:t>
      </w:r>
      <w:r w:rsidR="00C16B7A" w:rsidRPr="00810C5E">
        <w:rPr>
          <w:rFonts w:ascii="Arial" w:hAnsi="Arial" w:cs="Arial"/>
          <w:color w:val="000000"/>
          <w:sz w:val="20"/>
          <w:szCs w:val="20"/>
        </w:rPr>
        <w:t>PDF version</w:t>
      </w:r>
      <w:r>
        <w:rPr>
          <w:rFonts w:ascii="Arial" w:hAnsi="Arial" w:cs="Arial"/>
          <w:color w:val="000000"/>
          <w:sz w:val="20"/>
          <w:szCs w:val="20"/>
        </w:rPr>
        <w:t>’s</w:t>
      </w:r>
      <w:r w:rsidR="00C16B7A" w:rsidRPr="00810C5E">
        <w:rPr>
          <w:rFonts w:ascii="Arial" w:hAnsi="Arial" w:cs="Arial"/>
          <w:color w:val="000000"/>
          <w:sz w:val="20"/>
          <w:szCs w:val="20"/>
        </w:rPr>
        <w:t xml:space="preserve"> of the MD&amp;A </w:t>
      </w:r>
      <w:r>
        <w:rPr>
          <w:rFonts w:ascii="Arial" w:hAnsi="Arial" w:cs="Arial"/>
          <w:color w:val="000000"/>
          <w:sz w:val="20"/>
          <w:szCs w:val="20"/>
        </w:rPr>
        <w:t xml:space="preserve">and financial statements </w:t>
      </w:r>
      <w:r w:rsidR="00C16B7A" w:rsidRPr="00810C5E">
        <w:rPr>
          <w:rFonts w:ascii="Arial" w:hAnsi="Arial" w:cs="Arial"/>
          <w:color w:val="000000"/>
          <w:sz w:val="20"/>
          <w:szCs w:val="20"/>
        </w:rPr>
        <w:t>is available here</w:t>
      </w:r>
      <w:r w:rsidR="00C16B7A" w:rsidRPr="00810C5E">
        <w:rPr>
          <w:rFonts w:ascii="Arial" w:hAnsi="Arial" w:cs="Arial"/>
          <w:color w:val="212721"/>
          <w:sz w:val="18"/>
          <w:szCs w:val="18"/>
        </w:rPr>
        <w:t xml:space="preserve">: </w:t>
      </w:r>
      <w:r w:rsidR="0096168E">
        <w:rPr>
          <w:rFonts w:ascii="Arial" w:hAnsi="Arial" w:cs="Arial"/>
          <w:color w:val="000000"/>
          <w:sz w:val="20"/>
          <w:szCs w:val="20"/>
        </w:rPr>
        <w:t>www.orosur.ca</w:t>
      </w:r>
    </w:p>
    <w:p w14:paraId="2C3E2572" w14:textId="77777777" w:rsidR="00CF28BC" w:rsidRPr="00CF28BC" w:rsidRDefault="00CF28BC" w:rsidP="00CF28BC">
      <w:pPr>
        <w:suppressAutoHyphens/>
        <w:autoSpaceDE w:val="0"/>
        <w:autoSpaceDN w:val="0"/>
        <w:adjustRightInd w:val="0"/>
        <w:jc w:val="both"/>
        <w:rPr>
          <w:rFonts w:ascii="Arial" w:eastAsia="SimSun" w:hAnsi="Arial" w:cs="Arial"/>
          <w:b/>
          <w:bCs/>
          <w:color w:val="800000"/>
          <w:sz w:val="22"/>
          <w:szCs w:val="22"/>
          <w:lang w:val="en-US" w:eastAsia="zh-CN"/>
        </w:rPr>
      </w:pPr>
      <w:r w:rsidRPr="00CF28BC">
        <w:rPr>
          <w:rFonts w:ascii="Arial" w:eastAsia="SimSun" w:hAnsi="Arial" w:cs="Arial"/>
          <w:b/>
          <w:bCs/>
          <w:color w:val="800000"/>
          <w:sz w:val="22"/>
          <w:szCs w:val="22"/>
          <w:lang w:val="en-US" w:eastAsia="zh-CN"/>
        </w:rPr>
        <w:t>Highlights</w:t>
      </w:r>
    </w:p>
    <w:p w14:paraId="672F4773" w14:textId="77777777" w:rsidR="00CF28BC" w:rsidRPr="00CF28BC" w:rsidRDefault="00CF28BC" w:rsidP="00CF28BC">
      <w:pPr>
        <w:suppressAutoHyphens/>
        <w:autoSpaceDE w:val="0"/>
        <w:autoSpaceDN w:val="0"/>
        <w:adjustRightInd w:val="0"/>
        <w:jc w:val="both"/>
        <w:rPr>
          <w:rFonts w:ascii="Arial" w:eastAsia="SimSun" w:hAnsi="Arial" w:cs="Arial"/>
          <w:b/>
          <w:color w:val="943634"/>
          <w:sz w:val="20"/>
          <w:szCs w:val="20"/>
          <w:lang w:val="en-CA" w:eastAsia="ar-SA"/>
        </w:rPr>
      </w:pPr>
    </w:p>
    <w:p w14:paraId="1BD4FA18" w14:textId="0CC25846" w:rsidR="00CF28BC" w:rsidRPr="00CF28BC" w:rsidRDefault="00CF28BC" w:rsidP="00CF28BC">
      <w:pPr>
        <w:autoSpaceDE w:val="0"/>
        <w:autoSpaceDN w:val="0"/>
        <w:adjustRightInd w:val="0"/>
        <w:jc w:val="both"/>
        <w:rPr>
          <w:rFonts w:ascii="Arial" w:eastAsia="Times New Roman" w:hAnsi="Arial" w:cs="Arial"/>
          <w:sz w:val="20"/>
          <w:szCs w:val="20"/>
          <w:lang w:val="en-US"/>
        </w:rPr>
      </w:pPr>
      <w:r w:rsidRPr="00CF28BC">
        <w:rPr>
          <w:rFonts w:ascii="Arial" w:eastAsia="Times New Roman" w:hAnsi="Arial" w:cs="Arial"/>
          <w:sz w:val="20"/>
          <w:szCs w:val="20"/>
          <w:lang w:val="en-US"/>
        </w:rPr>
        <w:t>Highlights for the three months ended November 30</w:t>
      </w:r>
      <w:r>
        <w:rPr>
          <w:rFonts w:ascii="Arial" w:eastAsia="Times New Roman" w:hAnsi="Arial" w:cs="Arial"/>
          <w:sz w:val="20"/>
          <w:szCs w:val="20"/>
          <w:lang w:val="en-US"/>
        </w:rPr>
        <w:t>th</w:t>
      </w:r>
      <w:r w:rsidRPr="00CF28BC">
        <w:rPr>
          <w:rFonts w:ascii="Arial" w:eastAsia="Times New Roman" w:hAnsi="Arial" w:cs="Arial"/>
          <w:sz w:val="20"/>
          <w:szCs w:val="20"/>
          <w:lang w:val="en-US"/>
        </w:rPr>
        <w:t xml:space="preserve">, 2025 include: </w:t>
      </w:r>
    </w:p>
    <w:p w14:paraId="548B3319" w14:textId="77777777" w:rsidR="00CF28BC" w:rsidRPr="00CF28BC" w:rsidRDefault="00CF28BC" w:rsidP="00CF28BC">
      <w:pPr>
        <w:autoSpaceDE w:val="0"/>
        <w:autoSpaceDN w:val="0"/>
        <w:adjustRightInd w:val="0"/>
        <w:jc w:val="both"/>
        <w:rPr>
          <w:rFonts w:ascii="Arial" w:eastAsia="Times New Roman" w:hAnsi="Arial" w:cs="Arial"/>
          <w:sz w:val="20"/>
          <w:szCs w:val="20"/>
          <w:lang w:val="en-US"/>
        </w:rPr>
      </w:pPr>
    </w:p>
    <w:p w14:paraId="7B3431C0" w14:textId="77777777" w:rsidR="00CF28BC" w:rsidRPr="00CF28BC" w:rsidRDefault="00CF28BC" w:rsidP="00CF28BC">
      <w:pPr>
        <w:autoSpaceDE w:val="0"/>
        <w:autoSpaceDN w:val="0"/>
        <w:adjustRightInd w:val="0"/>
        <w:jc w:val="both"/>
        <w:rPr>
          <w:rFonts w:ascii="Arial" w:eastAsia="Times New Roman" w:hAnsi="Arial" w:cs="Arial"/>
          <w:b/>
          <w:bCs/>
          <w:sz w:val="20"/>
          <w:szCs w:val="20"/>
          <w:lang w:val="en-US"/>
        </w:rPr>
      </w:pPr>
      <w:r w:rsidRPr="00CF28BC">
        <w:rPr>
          <w:rFonts w:ascii="Arial" w:eastAsia="Times New Roman" w:hAnsi="Arial" w:cs="Arial"/>
          <w:b/>
          <w:bCs/>
          <w:sz w:val="20"/>
          <w:szCs w:val="20"/>
          <w:lang w:val="en-US"/>
        </w:rPr>
        <w:t>Operational</w:t>
      </w:r>
    </w:p>
    <w:p w14:paraId="1C6593A1" w14:textId="77777777" w:rsidR="00CF28BC" w:rsidRPr="00CF28BC" w:rsidRDefault="00CF28BC" w:rsidP="00CF28BC">
      <w:pPr>
        <w:autoSpaceDE w:val="0"/>
        <w:autoSpaceDN w:val="0"/>
        <w:adjustRightInd w:val="0"/>
        <w:jc w:val="both"/>
        <w:rPr>
          <w:rFonts w:ascii="Arial" w:eastAsia="Times New Roman" w:hAnsi="Arial" w:cs="Arial"/>
          <w:sz w:val="20"/>
          <w:szCs w:val="20"/>
          <w:lang w:val="en-US"/>
        </w:rPr>
      </w:pPr>
    </w:p>
    <w:p w14:paraId="7FDD4B25" w14:textId="523BBD6C" w:rsidR="00CF28BC" w:rsidRPr="00CF28BC" w:rsidRDefault="00CF28BC" w:rsidP="00CF28BC">
      <w:pPr>
        <w:numPr>
          <w:ilvl w:val="0"/>
          <w:numId w:val="2"/>
        </w:numPr>
        <w:suppressAutoHyphens/>
        <w:autoSpaceDE w:val="0"/>
        <w:autoSpaceDN w:val="0"/>
        <w:adjustRightInd w:val="0"/>
        <w:spacing w:line="240" w:lineRule="atLeast"/>
        <w:ind w:left="360"/>
        <w:jc w:val="both"/>
        <w:rPr>
          <w:rFonts w:ascii="Arial" w:eastAsia="SimSun" w:hAnsi="Arial" w:cs="Arial"/>
          <w:sz w:val="20"/>
          <w:szCs w:val="20"/>
          <w:lang w:eastAsia="ar-SA"/>
        </w:rPr>
      </w:pPr>
      <w:bookmarkStart w:id="0" w:name="_Hlk21800435"/>
      <w:r w:rsidRPr="00CF28BC">
        <w:rPr>
          <w:rFonts w:ascii="Arial" w:eastAsia="SimSun" w:hAnsi="Arial" w:cs="Arial"/>
          <w:b/>
          <w:bCs/>
          <w:sz w:val="20"/>
          <w:szCs w:val="20"/>
          <w:lang w:val="en-US" w:eastAsia="ar-SA"/>
        </w:rPr>
        <w:t>In Colombia</w:t>
      </w:r>
      <w:r w:rsidRPr="00CF28BC">
        <w:rPr>
          <w:rFonts w:ascii="Arial" w:eastAsia="SimSun" w:hAnsi="Arial" w:cs="Arial"/>
          <w:sz w:val="20"/>
          <w:szCs w:val="20"/>
          <w:lang w:val="en-US" w:eastAsia="ar-SA"/>
        </w:rPr>
        <w:t>, during the whole quarter,</w:t>
      </w:r>
      <w:r w:rsidRPr="00CF28BC">
        <w:rPr>
          <w:rFonts w:ascii="Arial" w:eastAsia="SimSun" w:hAnsi="Arial" w:cs="Arial"/>
          <w:sz w:val="20"/>
          <w:szCs w:val="20"/>
          <w:lang w:eastAsia="ar-SA"/>
        </w:rPr>
        <w:t xml:space="preserve"> infill drilling has continued at its </w:t>
      </w:r>
      <w:proofErr w:type="spellStart"/>
      <w:r w:rsidRPr="00CF28BC">
        <w:rPr>
          <w:rFonts w:ascii="Arial" w:eastAsia="SimSun" w:hAnsi="Arial" w:cs="Arial"/>
          <w:sz w:val="20"/>
          <w:szCs w:val="20"/>
          <w:lang w:eastAsia="ar-SA"/>
        </w:rPr>
        <w:t>Pepas</w:t>
      </w:r>
      <w:proofErr w:type="spellEnd"/>
      <w:r w:rsidRPr="00CF28BC">
        <w:rPr>
          <w:rFonts w:ascii="Arial" w:eastAsia="SimSun" w:hAnsi="Arial" w:cs="Arial"/>
          <w:sz w:val="20"/>
          <w:szCs w:val="20"/>
          <w:lang w:eastAsia="ar-SA"/>
        </w:rPr>
        <w:t xml:space="preserve"> gold prospect in </w:t>
      </w:r>
      <w:proofErr w:type="spellStart"/>
      <w:r w:rsidRPr="00CF28BC">
        <w:rPr>
          <w:rFonts w:ascii="Arial" w:eastAsia="SimSun" w:hAnsi="Arial" w:cs="Arial"/>
          <w:sz w:val="20"/>
          <w:szCs w:val="20"/>
          <w:lang w:eastAsia="ar-SA"/>
        </w:rPr>
        <w:t>Anzá</w:t>
      </w:r>
      <w:proofErr w:type="spellEnd"/>
      <w:r w:rsidRPr="00CF28BC">
        <w:rPr>
          <w:rFonts w:ascii="Arial" w:eastAsia="SimSun" w:hAnsi="Arial" w:cs="Arial"/>
          <w:sz w:val="20"/>
          <w:szCs w:val="20"/>
          <w:lang w:eastAsia="ar-SA"/>
        </w:rPr>
        <w:t xml:space="preserve">, with the objective of moving </w:t>
      </w:r>
      <w:proofErr w:type="spellStart"/>
      <w:r w:rsidRPr="00CF28BC">
        <w:rPr>
          <w:rFonts w:ascii="Arial" w:eastAsia="SimSun" w:hAnsi="Arial" w:cs="Arial"/>
          <w:sz w:val="20"/>
          <w:szCs w:val="20"/>
          <w:lang w:eastAsia="ar-SA"/>
        </w:rPr>
        <w:t>Pepas</w:t>
      </w:r>
      <w:proofErr w:type="spellEnd"/>
      <w:r w:rsidRPr="00CF28BC">
        <w:rPr>
          <w:rFonts w:ascii="Arial" w:eastAsia="SimSun" w:hAnsi="Arial" w:cs="Arial"/>
          <w:sz w:val="20"/>
          <w:szCs w:val="20"/>
          <w:lang w:eastAsia="ar-SA"/>
        </w:rPr>
        <w:t xml:space="preserve"> to a NI43-101 compliant Mineral Resource Estimate ("MRE".) As anticipated, drilling </w:t>
      </w:r>
      <w:r w:rsidRPr="00CF28BC">
        <w:rPr>
          <w:rFonts w:ascii="Arial" w:eastAsia="SimSun" w:hAnsi="Arial" w:cs="Arial"/>
          <w:sz w:val="20"/>
          <w:szCs w:val="20"/>
          <w:lang w:val="en-US" w:eastAsia="ar-SA"/>
        </w:rPr>
        <w:t xml:space="preserve">results have firmed up the </w:t>
      </w:r>
      <w:proofErr w:type="spellStart"/>
      <w:r w:rsidRPr="00CF28BC">
        <w:rPr>
          <w:rFonts w:ascii="Arial" w:eastAsia="SimSun" w:hAnsi="Arial" w:cs="Arial"/>
          <w:sz w:val="20"/>
          <w:szCs w:val="20"/>
          <w:lang w:val="en-US" w:eastAsia="ar-SA"/>
        </w:rPr>
        <w:t>Pepas</w:t>
      </w:r>
      <w:proofErr w:type="spellEnd"/>
      <w:r w:rsidRPr="00CF28BC">
        <w:rPr>
          <w:rFonts w:ascii="Arial" w:eastAsia="SimSun" w:hAnsi="Arial" w:cs="Arial"/>
          <w:sz w:val="20"/>
          <w:szCs w:val="20"/>
          <w:lang w:val="en-US" w:eastAsia="ar-SA"/>
        </w:rPr>
        <w:t xml:space="preserve"> </w:t>
      </w:r>
      <w:r w:rsidR="00E1626F">
        <w:rPr>
          <w:rFonts w:ascii="Arial" w:eastAsia="SimSun" w:hAnsi="Arial" w:cs="Arial"/>
          <w:sz w:val="20"/>
          <w:szCs w:val="20"/>
          <w:lang w:val="en-US" w:eastAsia="ar-SA"/>
        </w:rPr>
        <w:t>deposit</w:t>
      </w:r>
      <w:r w:rsidRPr="00CF28BC">
        <w:rPr>
          <w:rFonts w:ascii="Arial" w:eastAsia="SimSun" w:hAnsi="Arial" w:cs="Arial"/>
          <w:sz w:val="20"/>
          <w:szCs w:val="20"/>
          <w:lang w:val="en-US" w:eastAsia="ar-SA"/>
        </w:rPr>
        <w:t xml:space="preserve"> and provided better definition of the nature of the thick, high-grade </w:t>
      </w:r>
      <w:proofErr w:type="spellStart"/>
      <w:r w:rsidRPr="00CF28BC">
        <w:rPr>
          <w:rFonts w:ascii="Arial" w:eastAsia="SimSun" w:hAnsi="Arial" w:cs="Arial"/>
          <w:sz w:val="20"/>
          <w:szCs w:val="20"/>
          <w:lang w:val="en-US" w:eastAsia="ar-SA"/>
        </w:rPr>
        <w:t>mineralisation</w:t>
      </w:r>
      <w:proofErr w:type="spellEnd"/>
      <w:r w:rsidRPr="00CF28BC">
        <w:rPr>
          <w:rFonts w:ascii="Arial" w:eastAsia="SimSun" w:hAnsi="Arial" w:cs="Arial"/>
          <w:sz w:val="20"/>
          <w:szCs w:val="20"/>
          <w:lang w:val="en-US" w:eastAsia="ar-SA"/>
        </w:rPr>
        <w:t xml:space="preserve">. Recent results are largely as expected in terms of the grade distribution across </w:t>
      </w:r>
      <w:proofErr w:type="spellStart"/>
      <w:r w:rsidRPr="00CF28BC">
        <w:rPr>
          <w:rFonts w:ascii="Arial" w:eastAsia="SimSun" w:hAnsi="Arial" w:cs="Arial"/>
          <w:sz w:val="20"/>
          <w:szCs w:val="20"/>
          <w:lang w:val="en-US" w:eastAsia="ar-SA"/>
        </w:rPr>
        <w:t>Pepas</w:t>
      </w:r>
      <w:proofErr w:type="spellEnd"/>
      <w:r w:rsidRPr="00CF28BC">
        <w:rPr>
          <w:rFonts w:ascii="Arial" w:eastAsia="SimSun" w:hAnsi="Arial" w:cs="Arial"/>
          <w:sz w:val="20"/>
          <w:szCs w:val="20"/>
          <w:lang w:val="en-US" w:eastAsia="ar-SA"/>
        </w:rPr>
        <w:t>.</w:t>
      </w:r>
      <w:r w:rsidRPr="00CF28BC">
        <w:rPr>
          <w:rFonts w:ascii="Arial" w:eastAsia="SimSun" w:hAnsi="Arial" w:cs="Arial"/>
          <w:sz w:val="20"/>
          <w:szCs w:val="20"/>
          <w:lang w:eastAsia="ar-SA"/>
        </w:rPr>
        <w:t xml:space="preserve"> The MRE at </w:t>
      </w:r>
      <w:proofErr w:type="spellStart"/>
      <w:r w:rsidRPr="00CF28BC">
        <w:rPr>
          <w:rFonts w:ascii="Arial" w:eastAsia="SimSun" w:hAnsi="Arial" w:cs="Arial"/>
          <w:sz w:val="20"/>
          <w:szCs w:val="20"/>
          <w:lang w:eastAsia="ar-SA"/>
        </w:rPr>
        <w:t>Pepas</w:t>
      </w:r>
      <w:proofErr w:type="spellEnd"/>
      <w:r w:rsidRPr="00CF28BC">
        <w:rPr>
          <w:rFonts w:ascii="Arial" w:eastAsia="SimSun" w:hAnsi="Arial" w:cs="Arial"/>
          <w:sz w:val="20"/>
          <w:szCs w:val="20"/>
          <w:lang w:eastAsia="ar-SA"/>
        </w:rPr>
        <w:t xml:space="preserve"> is anticipated to be delivered by the end of January 2026.</w:t>
      </w:r>
    </w:p>
    <w:p w14:paraId="6798CB77" w14:textId="77777777" w:rsidR="00CF28BC" w:rsidRPr="00CF28BC" w:rsidRDefault="00CF28BC" w:rsidP="00CF28BC">
      <w:pPr>
        <w:suppressAutoHyphens/>
        <w:autoSpaceDE w:val="0"/>
        <w:autoSpaceDN w:val="0"/>
        <w:adjustRightInd w:val="0"/>
        <w:spacing w:line="240" w:lineRule="atLeast"/>
        <w:ind w:left="360"/>
        <w:jc w:val="both"/>
        <w:rPr>
          <w:rFonts w:ascii="Arial" w:eastAsia="SimSun" w:hAnsi="Arial" w:cs="Arial"/>
          <w:sz w:val="20"/>
          <w:szCs w:val="20"/>
          <w:lang w:eastAsia="ar-SA"/>
        </w:rPr>
      </w:pPr>
    </w:p>
    <w:p w14:paraId="6BC28C57" w14:textId="0AEE1A14" w:rsidR="00CF28BC" w:rsidRPr="00CF28BC" w:rsidRDefault="00CF28BC" w:rsidP="00CF28BC">
      <w:pPr>
        <w:suppressAutoHyphens/>
        <w:autoSpaceDE w:val="0"/>
        <w:autoSpaceDN w:val="0"/>
        <w:adjustRightInd w:val="0"/>
        <w:spacing w:line="240" w:lineRule="atLeast"/>
        <w:ind w:left="360"/>
        <w:jc w:val="both"/>
        <w:rPr>
          <w:rFonts w:ascii="Arial" w:eastAsia="SimSun" w:hAnsi="Arial" w:cs="Arial"/>
          <w:sz w:val="20"/>
          <w:szCs w:val="20"/>
          <w:lang w:eastAsia="ar-SA"/>
        </w:rPr>
      </w:pPr>
      <w:r w:rsidRPr="00CF28BC">
        <w:rPr>
          <w:rFonts w:ascii="Arial" w:eastAsia="SimSun" w:hAnsi="Arial" w:cs="Arial"/>
          <w:sz w:val="20"/>
          <w:szCs w:val="20"/>
          <w:lang w:eastAsia="ar-SA"/>
        </w:rPr>
        <w:t xml:space="preserve">At El Cedro, some 10kms to the south of </w:t>
      </w:r>
      <w:proofErr w:type="spellStart"/>
      <w:r w:rsidRPr="00CF28BC">
        <w:rPr>
          <w:rFonts w:ascii="Arial" w:eastAsia="SimSun" w:hAnsi="Arial" w:cs="Arial"/>
          <w:sz w:val="20"/>
          <w:szCs w:val="20"/>
          <w:lang w:eastAsia="ar-SA"/>
        </w:rPr>
        <w:t>Pepas</w:t>
      </w:r>
      <w:proofErr w:type="spellEnd"/>
      <w:r w:rsidRPr="00CF28BC">
        <w:rPr>
          <w:rFonts w:ascii="Arial" w:eastAsia="SimSun" w:hAnsi="Arial" w:cs="Arial"/>
          <w:sz w:val="20"/>
          <w:szCs w:val="20"/>
          <w:lang w:eastAsia="ar-SA"/>
        </w:rPr>
        <w:t xml:space="preserve"> but on the same licence, the Company completed a large-scale soil geochemical survey covering most of what is thought to be a large scale </w:t>
      </w:r>
      <w:r w:rsidR="00751253" w:rsidRPr="00CF28BC">
        <w:rPr>
          <w:rFonts w:ascii="Arial" w:eastAsia="SimSun" w:hAnsi="Arial" w:cs="Arial"/>
          <w:sz w:val="20"/>
          <w:szCs w:val="20"/>
          <w:lang w:eastAsia="ar-SA"/>
        </w:rPr>
        <w:t>porphyr</w:t>
      </w:r>
      <w:r w:rsidR="00DD2F96">
        <w:rPr>
          <w:rFonts w:ascii="Arial" w:eastAsia="SimSun" w:hAnsi="Arial" w:cs="Arial"/>
          <w:sz w:val="20"/>
          <w:szCs w:val="20"/>
          <w:lang w:eastAsia="ar-SA"/>
        </w:rPr>
        <w:t>y</w:t>
      </w:r>
      <w:r w:rsidR="00751253" w:rsidRPr="00CF28BC">
        <w:rPr>
          <w:rFonts w:ascii="Arial" w:eastAsia="SimSun" w:hAnsi="Arial" w:cs="Arial"/>
          <w:sz w:val="20"/>
          <w:szCs w:val="20"/>
          <w:lang w:eastAsia="ar-SA"/>
        </w:rPr>
        <w:t xml:space="preserve"> system</w:t>
      </w:r>
      <w:r w:rsidRPr="00CF28BC">
        <w:rPr>
          <w:rFonts w:ascii="Arial" w:eastAsia="SimSun" w:hAnsi="Arial" w:cs="Arial"/>
          <w:sz w:val="20"/>
          <w:szCs w:val="20"/>
          <w:lang w:eastAsia="ar-SA"/>
        </w:rPr>
        <w:t xml:space="preserve">. Soil samples were taken at roughly 25m intervals, along ridges and spurs for ease of access and to ensure soils were residual. The survey showed gold assay results identifying a substantial, gold bearing system, with highly anomalous geochemical responses over a large, well preserved zoned porphyry system, with soil samples assays at times exceeding 1g/t Au. </w:t>
      </w:r>
    </w:p>
    <w:p w14:paraId="218EC5F7" w14:textId="77777777" w:rsidR="00CF28BC" w:rsidRPr="00CF28BC" w:rsidRDefault="00CF28BC" w:rsidP="00CF28BC">
      <w:pPr>
        <w:suppressAutoHyphens/>
        <w:autoSpaceDE w:val="0"/>
        <w:autoSpaceDN w:val="0"/>
        <w:adjustRightInd w:val="0"/>
        <w:spacing w:line="240" w:lineRule="atLeast"/>
        <w:ind w:left="360"/>
        <w:jc w:val="both"/>
        <w:rPr>
          <w:rFonts w:ascii="Arial" w:eastAsia="SimSun" w:hAnsi="Arial" w:cs="Arial"/>
          <w:sz w:val="20"/>
          <w:szCs w:val="20"/>
          <w:lang w:eastAsia="ar-SA"/>
        </w:rPr>
      </w:pPr>
    </w:p>
    <w:p w14:paraId="7D4D5EFB" w14:textId="77777777" w:rsidR="00CF28BC" w:rsidRPr="00CF28BC" w:rsidRDefault="00CF28BC" w:rsidP="00CF28BC">
      <w:pPr>
        <w:suppressAutoHyphens/>
        <w:autoSpaceDE w:val="0"/>
        <w:autoSpaceDN w:val="0"/>
        <w:adjustRightInd w:val="0"/>
        <w:spacing w:line="240" w:lineRule="atLeast"/>
        <w:ind w:left="360"/>
        <w:jc w:val="both"/>
        <w:rPr>
          <w:rFonts w:ascii="Arial" w:eastAsia="SimSun" w:hAnsi="Arial" w:cs="Arial"/>
          <w:sz w:val="20"/>
          <w:szCs w:val="20"/>
          <w:lang w:val="en-US" w:eastAsia="ar-SA"/>
        </w:rPr>
      </w:pPr>
      <w:r w:rsidRPr="00CF28BC">
        <w:rPr>
          <w:rFonts w:ascii="Arial" w:eastAsia="SimSun" w:hAnsi="Arial" w:cs="Arial"/>
          <w:sz w:val="20"/>
          <w:szCs w:val="20"/>
          <w:lang w:eastAsia="ar-SA"/>
        </w:rPr>
        <w:t xml:space="preserve">In addition, analysis of </w:t>
      </w:r>
      <w:r w:rsidRPr="00CF28BC">
        <w:rPr>
          <w:rFonts w:ascii="Arial" w:eastAsia="SimSun" w:hAnsi="Arial" w:cs="Arial"/>
          <w:sz w:val="20"/>
          <w:szCs w:val="20"/>
          <w:lang w:val="en-US" w:eastAsia="ar-SA"/>
        </w:rPr>
        <w:t>new geochemical data, in conjunction with historical mapping information and airborne geophysical data collected in 2012 has identified a second porphyry system to the south of El Cedro within the same structural regional corridor.</w:t>
      </w:r>
    </w:p>
    <w:p w14:paraId="1C41C39D" w14:textId="77777777" w:rsidR="00CF28BC" w:rsidRPr="00CF28BC" w:rsidRDefault="00CF28BC" w:rsidP="00CF28BC">
      <w:pPr>
        <w:suppressAutoHyphens/>
        <w:autoSpaceDE w:val="0"/>
        <w:autoSpaceDN w:val="0"/>
        <w:adjustRightInd w:val="0"/>
        <w:spacing w:line="240" w:lineRule="atLeast"/>
        <w:ind w:left="360"/>
        <w:jc w:val="both"/>
        <w:rPr>
          <w:rFonts w:ascii="Arial" w:eastAsia="SimSun" w:hAnsi="Arial" w:cs="Arial"/>
          <w:sz w:val="20"/>
          <w:szCs w:val="20"/>
          <w:lang w:eastAsia="ar-SA"/>
        </w:rPr>
      </w:pPr>
      <w:r w:rsidRPr="00CF28BC">
        <w:rPr>
          <w:rFonts w:ascii="Arial" w:eastAsia="SimSun" w:hAnsi="Arial" w:cs="Arial"/>
          <w:sz w:val="20"/>
          <w:szCs w:val="20"/>
          <w:lang w:eastAsia="ar-SA"/>
        </w:rPr>
        <w:t> </w:t>
      </w:r>
    </w:p>
    <w:p w14:paraId="21FA1E67" w14:textId="77777777" w:rsidR="00CF28BC" w:rsidRPr="00CF28BC" w:rsidRDefault="00CF28BC" w:rsidP="00CF28BC">
      <w:pPr>
        <w:numPr>
          <w:ilvl w:val="0"/>
          <w:numId w:val="2"/>
        </w:numPr>
        <w:suppressAutoHyphens/>
        <w:autoSpaceDE w:val="0"/>
        <w:autoSpaceDN w:val="0"/>
        <w:adjustRightInd w:val="0"/>
        <w:spacing w:line="240" w:lineRule="atLeast"/>
        <w:ind w:left="360"/>
        <w:jc w:val="both"/>
        <w:rPr>
          <w:rFonts w:ascii="Arial" w:eastAsia="SimSun" w:hAnsi="Arial" w:cs="Arial"/>
          <w:sz w:val="20"/>
          <w:szCs w:val="20"/>
          <w:lang w:val="en-US" w:eastAsia="ar-SA"/>
        </w:rPr>
      </w:pPr>
      <w:bookmarkStart w:id="1" w:name="_Hlk217911371"/>
      <w:r w:rsidRPr="00CF28BC">
        <w:rPr>
          <w:rFonts w:ascii="Arial" w:eastAsia="SimSun" w:hAnsi="Arial" w:cs="Arial"/>
          <w:b/>
          <w:bCs/>
          <w:sz w:val="20"/>
          <w:szCs w:val="20"/>
          <w:lang w:val="en-US" w:eastAsia="ar-SA"/>
        </w:rPr>
        <w:t>In Argentina</w:t>
      </w:r>
      <w:r w:rsidRPr="00CF28BC">
        <w:rPr>
          <w:rFonts w:ascii="Arial" w:eastAsia="SimSun" w:hAnsi="Arial" w:cs="Arial"/>
          <w:sz w:val="20"/>
          <w:szCs w:val="20"/>
          <w:lang w:val="en-US" w:eastAsia="ar-SA"/>
        </w:rPr>
        <w:t>,</w:t>
      </w:r>
      <w:r w:rsidRPr="00CF28BC">
        <w:rPr>
          <w:rFonts w:ascii="Arial" w:eastAsia="SimSun" w:hAnsi="Arial" w:cs="Arial"/>
          <w:sz w:val="20"/>
          <w:szCs w:val="20"/>
          <w:lang w:eastAsia="ar-SA"/>
        </w:rPr>
        <w:t xml:space="preserve"> </w:t>
      </w:r>
      <w:bookmarkEnd w:id="1"/>
      <w:r w:rsidRPr="00CF28BC">
        <w:rPr>
          <w:rFonts w:ascii="Arial" w:eastAsia="SimSun" w:hAnsi="Arial" w:cs="Arial"/>
          <w:sz w:val="20"/>
          <w:szCs w:val="20"/>
          <w:lang w:eastAsia="ar-SA"/>
        </w:rPr>
        <w:t>the Company has earned a direct 51% interest in the Argentine company, Deseado Dorado S.A.S ("Deseado"), that owns the exploration licences that make up the El Pantano Project in Santa Cruz province. The Company has now moved into the Phase 2 of the JV, that will see it move to 100% ownership of Deseado upon investment of an additional US$2m, a large part of which will be spent on a 3,000 metre drill program which commenced at El Pantano in November and is expected to conclude in early 2026. </w:t>
      </w:r>
    </w:p>
    <w:p w14:paraId="136D0A05" w14:textId="77777777" w:rsidR="00CF28BC" w:rsidRPr="00CF28BC" w:rsidRDefault="00CF28BC" w:rsidP="00CF28BC">
      <w:pPr>
        <w:suppressAutoHyphens/>
        <w:autoSpaceDE w:val="0"/>
        <w:autoSpaceDN w:val="0"/>
        <w:adjustRightInd w:val="0"/>
        <w:spacing w:line="240" w:lineRule="atLeast"/>
        <w:ind w:left="360"/>
        <w:jc w:val="both"/>
        <w:rPr>
          <w:rFonts w:ascii="Arial" w:eastAsia="SimSun" w:hAnsi="Arial" w:cs="Arial"/>
          <w:sz w:val="20"/>
          <w:szCs w:val="20"/>
          <w:lang w:val="en-US" w:eastAsia="ar-SA"/>
        </w:rPr>
      </w:pPr>
    </w:p>
    <w:p w14:paraId="592628EC" w14:textId="77777777" w:rsidR="00CF28BC" w:rsidRDefault="00CF28BC" w:rsidP="00CF28BC">
      <w:pPr>
        <w:suppressAutoHyphens/>
        <w:autoSpaceDE w:val="0"/>
        <w:autoSpaceDN w:val="0"/>
        <w:adjustRightInd w:val="0"/>
        <w:spacing w:line="240" w:lineRule="atLeast"/>
        <w:ind w:left="360"/>
        <w:jc w:val="both"/>
        <w:rPr>
          <w:rFonts w:ascii="Arial" w:eastAsia="SimSun" w:hAnsi="Arial" w:cs="Arial"/>
          <w:sz w:val="20"/>
          <w:szCs w:val="20"/>
          <w:lang w:val="en-US" w:eastAsia="ar-SA"/>
        </w:rPr>
      </w:pPr>
      <w:r w:rsidRPr="00CF28BC">
        <w:rPr>
          <w:rFonts w:ascii="Arial" w:eastAsia="SimSun" w:hAnsi="Arial" w:cs="Arial"/>
          <w:sz w:val="20"/>
          <w:szCs w:val="20"/>
          <w:lang w:val="en-US" w:eastAsia="ar-SA"/>
        </w:rPr>
        <w:t xml:space="preserve">First holes from the El Pantano drilling program confirm a low </w:t>
      </w:r>
      <w:proofErr w:type="spellStart"/>
      <w:r w:rsidRPr="00CF28BC">
        <w:rPr>
          <w:rFonts w:ascii="Arial" w:eastAsia="SimSun" w:hAnsi="Arial" w:cs="Arial"/>
          <w:sz w:val="20"/>
          <w:szCs w:val="20"/>
          <w:lang w:val="en-US" w:eastAsia="ar-SA"/>
        </w:rPr>
        <w:t>sulphidation</w:t>
      </w:r>
      <w:proofErr w:type="spellEnd"/>
      <w:r w:rsidRPr="00CF28BC">
        <w:rPr>
          <w:rFonts w:ascii="Arial" w:eastAsia="SimSun" w:hAnsi="Arial" w:cs="Arial"/>
          <w:sz w:val="20"/>
          <w:szCs w:val="20"/>
          <w:lang w:val="en-US" w:eastAsia="ar-SA"/>
        </w:rPr>
        <w:t xml:space="preserve"> </w:t>
      </w:r>
      <w:proofErr w:type="spellStart"/>
      <w:r w:rsidRPr="00CF28BC">
        <w:rPr>
          <w:rFonts w:ascii="Arial" w:eastAsia="SimSun" w:hAnsi="Arial" w:cs="Arial"/>
          <w:sz w:val="20"/>
          <w:szCs w:val="20"/>
          <w:lang w:val="en-US" w:eastAsia="ar-SA"/>
        </w:rPr>
        <w:t>epithermal</w:t>
      </w:r>
      <w:proofErr w:type="spellEnd"/>
      <w:r w:rsidRPr="00CF28BC">
        <w:rPr>
          <w:rFonts w:ascii="Arial" w:eastAsia="SimSun" w:hAnsi="Arial" w:cs="Arial"/>
          <w:sz w:val="20"/>
          <w:szCs w:val="20"/>
          <w:lang w:val="en-US" w:eastAsia="ar-SA"/>
        </w:rPr>
        <w:t xml:space="preserve"> mineral system. Whilst assays are still awaited, the Company is confident that it has achieved its general objective of proving the existence of a substantial mineral system.</w:t>
      </w:r>
    </w:p>
    <w:p w14:paraId="47B18D61" w14:textId="77777777" w:rsidR="00F83F05" w:rsidRPr="00CF28BC" w:rsidRDefault="00F83F05" w:rsidP="00CF28BC">
      <w:pPr>
        <w:suppressAutoHyphens/>
        <w:autoSpaceDE w:val="0"/>
        <w:autoSpaceDN w:val="0"/>
        <w:adjustRightInd w:val="0"/>
        <w:spacing w:line="240" w:lineRule="atLeast"/>
        <w:ind w:left="360"/>
        <w:jc w:val="both"/>
        <w:rPr>
          <w:rFonts w:ascii="Arial" w:eastAsia="SimSun" w:hAnsi="Arial" w:cs="Arial"/>
          <w:sz w:val="20"/>
          <w:szCs w:val="20"/>
          <w:lang w:val="en-US" w:eastAsia="ar-SA"/>
        </w:rPr>
      </w:pPr>
    </w:p>
    <w:p w14:paraId="27FCCE09" w14:textId="01899F4E" w:rsidR="00CF28BC" w:rsidRPr="00CF28BC" w:rsidRDefault="00CF28BC" w:rsidP="00CF28BC">
      <w:pPr>
        <w:numPr>
          <w:ilvl w:val="0"/>
          <w:numId w:val="2"/>
        </w:numPr>
        <w:suppressAutoHyphens/>
        <w:autoSpaceDE w:val="0"/>
        <w:autoSpaceDN w:val="0"/>
        <w:adjustRightInd w:val="0"/>
        <w:spacing w:line="240" w:lineRule="atLeast"/>
        <w:ind w:left="360"/>
        <w:jc w:val="both"/>
        <w:rPr>
          <w:rFonts w:ascii="Arial" w:eastAsia="SimSun" w:hAnsi="Arial" w:cs="Arial"/>
          <w:sz w:val="20"/>
          <w:szCs w:val="20"/>
          <w:lang w:val="en-US" w:eastAsia="ar-SA"/>
        </w:rPr>
      </w:pPr>
      <w:r w:rsidRPr="00CF28BC">
        <w:rPr>
          <w:rFonts w:ascii="Arial" w:eastAsia="SimSun" w:hAnsi="Arial" w:cs="Arial"/>
          <w:b/>
          <w:bCs/>
          <w:sz w:val="20"/>
          <w:szCs w:val="20"/>
          <w:lang w:val="en-US" w:eastAsia="ar-SA"/>
        </w:rPr>
        <w:t>In Nigeria</w:t>
      </w:r>
      <w:r w:rsidRPr="00CF28BC">
        <w:rPr>
          <w:rFonts w:ascii="Arial" w:eastAsia="SimSun" w:hAnsi="Arial" w:cs="Arial"/>
          <w:sz w:val="20"/>
          <w:szCs w:val="20"/>
          <w:lang w:val="en-US" w:eastAsia="ar-SA"/>
        </w:rPr>
        <w:t xml:space="preserve">, in view of the Company’s need to </w:t>
      </w:r>
      <w:proofErr w:type="spellStart"/>
      <w:r w:rsidRPr="00CF28BC">
        <w:rPr>
          <w:rFonts w:ascii="Arial" w:eastAsia="SimSun" w:hAnsi="Arial" w:cs="Arial"/>
          <w:sz w:val="20"/>
          <w:szCs w:val="20"/>
          <w:lang w:val="en-US" w:eastAsia="ar-SA"/>
        </w:rPr>
        <w:t>prioritise</w:t>
      </w:r>
      <w:proofErr w:type="spellEnd"/>
      <w:r w:rsidRPr="00CF28BC">
        <w:rPr>
          <w:rFonts w:ascii="Arial" w:eastAsia="SimSun" w:hAnsi="Arial" w:cs="Arial"/>
          <w:sz w:val="20"/>
          <w:szCs w:val="20"/>
          <w:lang w:val="en-US" w:eastAsia="ar-SA"/>
        </w:rPr>
        <w:t xml:space="preserve"> the use of its capital and human resources, a decision was taken to withdraw from the lithium project which will be formalized over the next few weeks. The investment in Nigeria was fully impaired in the Company’s financial statements as at May 31, 2025 and it remains fully impaired.</w:t>
      </w:r>
    </w:p>
    <w:p w14:paraId="2879031E" w14:textId="77777777" w:rsidR="00CF28BC" w:rsidRPr="00CF28BC" w:rsidRDefault="00CF28BC" w:rsidP="00CF28BC">
      <w:pPr>
        <w:suppressAutoHyphens/>
        <w:autoSpaceDE w:val="0"/>
        <w:autoSpaceDN w:val="0"/>
        <w:adjustRightInd w:val="0"/>
        <w:spacing w:line="240" w:lineRule="atLeast"/>
        <w:jc w:val="both"/>
        <w:rPr>
          <w:rFonts w:ascii="Arial" w:eastAsia="SimSun" w:hAnsi="Arial" w:cs="Arial"/>
          <w:b/>
          <w:bCs/>
          <w:sz w:val="20"/>
          <w:szCs w:val="20"/>
          <w:lang w:val="en-US" w:eastAsia="ar-SA"/>
        </w:rPr>
      </w:pPr>
    </w:p>
    <w:p w14:paraId="45795331" w14:textId="77777777" w:rsidR="00CF28BC" w:rsidRPr="00CF28BC" w:rsidRDefault="00CF28BC" w:rsidP="00CF28BC">
      <w:pPr>
        <w:suppressAutoHyphens/>
        <w:autoSpaceDE w:val="0"/>
        <w:autoSpaceDN w:val="0"/>
        <w:adjustRightInd w:val="0"/>
        <w:spacing w:line="240" w:lineRule="atLeast"/>
        <w:jc w:val="both"/>
        <w:rPr>
          <w:rFonts w:ascii="Arial" w:eastAsia="SimSun" w:hAnsi="Arial" w:cs="Arial"/>
          <w:b/>
          <w:bCs/>
          <w:sz w:val="20"/>
          <w:szCs w:val="20"/>
          <w:lang w:val="en-US" w:eastAsia="ar-SA"/>
        </w:rPr>
      </w:pPr>
      <w:r w:rsidRPr="00CF28BC">
        <w:rPr>
          <w:rFonts w:ascii="Arial" w:eastAsia="SimSun" w:hAnsi="Arial" w:cs="Arial"/>
          <w:b/>
          <w:bCs/>
          <w:sz w:val="20"/>
          <w:szCs w:val="20"/>
          <w:lang w:val="en-US" w:eastAsia="ar-SA"/>
        </w:rPr>
        <w:t>Financial and Corporate</w:t>
      </w:r>
    </w:p>
    <w:p w14:paraId="1D0BB50A" w14:textId="77777777" w:rsidR="00CF28BC" w:rsidRPr="00CF28BC" w:rsidRDefault="00CF28BC" w:rsidP="00CF28BC">
      <w:pPr>
        <w:autoSpaceDE w:val="0"/>
        <w:autoSpaceDN w:val="0"/>
        <w:adjustRightInd w:val="0"/>
        <w:jc w:val="both"/>
        <w:rPr>
          <w:rFonts w:ascii="Arial" w:eastAsia="Times New Roman" w:hAnsi="Arial" w:cs="Arial"/>
          <w:sz w:val="20"/>
          <w:szCs w:val="20"/>
          <w:lang w:val="en-CA"/>
        </w:rPr>
      </w:pPr>
    </w:p>
    <w:p w14:paraId="652D0B7C" w14:textId="55AB4210" w:rsidR="00CF28BC" w:rsidRPr="00CF28BC" w:rsidRDefault="00CF28BC" w:rsidP="00CF28BC">
      <w:pPr>
        <w:numPr>
          <w:ilvl w:val="0"/>
          <w:numId w:val="7"/>
        </w:numPr>
        <w:suppressAutoHyphens/>
        <w:autoSpaceDE w:val="0"/>
        <w:autoSpaceDN w:val="0"/>
        <w:adjustRightInd w:val="0"/>
        <w:spacing w:line="240" w:lineRule="atLeast"/>
        <w:jc w:val="both"/>
        <w:rPr>
          <w:rFonts w:ascii="Arial" w:eastAsia="Times New Roman" w:hAnsi="Arial" w:cs="Arial"/>
          <w:sz w:val="20"/>
          <w:szCs w:val="20"/>
          <w:lang w:val="en-CA"/>
        </w:rPr>
      </w:pPr>
      <w:r w:rsidRPr="00CF28BC">
        <w:rPr>
          <w:rFonts w:ascii="Arial" w:eastAsia="Times New Roman" w:hAnsi="Arial" w:cs="Arial"/>
          <w:sz w:val="20"/>
          <w:szCs w:val="20"/>
          <w:lang w:val="en-CA"/>
        </w:rPr>
        <w:t xml:space="preserve">On November 30, 2025, the Company had a cash balance of </w:t>
      </w:r>
      <w:r w:rsidR="00AA69E3">
        <w:rPr>
          <w:rFonts w:ascii="Arial" w:eastAsia="Times New Roman" w:hAnsi="Arial" w:cs="Arial"/>
          <w:sz w:val="20"/>
          <w:szCs w:val="20"/>
          <w:lang w:val="en-CA"/>
        </w:rPr>
        <w:t>US</w:t>
      </w:r>
      <w:r w:rsidRPr="00CF28BC">
        <w:rPr>
          <w:rFonts w:ascii="Arial" w:eastAsia="Times New Roman" w:hAnsi="Arial" w:cs="Arial"/>
          <w:sz w:val="20"/>
          <w:szCs w:val="20"/>
          <w:lang w:val="en-CA"/>
        </w:rPr>
        <w:t>$16,280</w:t>
      </w:r>
      <w:r w:rsidR="00645854">
        <w:rPr>
          <w:rFonts w:ascii="Arial" w:eastAsia="Times New Roman" w:hAnsi="Arial" w:cs="Arial"/>
          <w:sz w:val="20"/>
          <w:szCs w:val="20"/>
          <w:lang w:val="en-CA"/>
        </w:rPr>
        <w:t>,000</w:t>
      </w:r>
      <w:r w:rsidRPr="00CF28BC">
        <w:rPr>
          <w:rFonts w:ascii="Arial" w:eastAsia="Times New Roman" w:hAnsi="Arial" w:cs="Arial"/>
          <w:sz w:val="20"/>
          <w:szCs w:val="20"/>
          <w:lang w:val="en-CA"/>
        </w:rPr>
        <w:t xml:space="preserve"> (May 31, 2025 </w:t>
      </w:r>
      <w:r w:rsidR="00AA69E3">
        <w:rPr>
          <w:rFonts w:ascii="Arial" w:eastAsia="Times New Roman" w:hAnsi="Arial" w:cs="Arial"/>
          <w:sz w:val="20"/>
          <w:szCs w:val="20"/>
          <w:lang w:val="en-CA"/>
        </w:rPr>
        <w:t>US</w:t>
      </w:r>
      <w:r w:rsidRPr="00CF28BC">
        <w:rPr>
          <w:rFonts w:ascii="Arial" w:eastAsia="Times New Roman" w:hAnsi="Arial" w:cs="Arial"/>
          <w:sz w:val="20"/>
          <w:szCs w:val="20"/>
          <w:lang w:val="en-CA"/>
        </w:rPr>
        <w:t>$4,877</w:t>
      </w:r>
      <w:r w:rsidR="00645854">
        <w:rPr>
          <w:rFonts w:ascii="Arial" w:eastAsia="Times New Roman" w:hAnsi="Arial" w:cs="Arial"/>
          <w:sz w:val="20"/>
          <w:szCs w:val="20"/>
          <w:lang w:val="en-CA"/>
        </w:rPr>
        <w:t>,000</w:t>
      </w:r>
      <w:r w:rsidRPr="00CF28BC">
        <w:rPr>
          <w:rFonts w:ascii="Arial" w:eastAsia="Times New Roman" w:hAnsi="Arial" w:cs="Arial"/>
          <w:sz w:val="20"/>
          <w:szCs w:val="20"/>
          <w:lang w:val="en-CA"/>
        </w:rPr>
        <w:t xml:space="preserve">). As at the date of this MD&amp;A and including the funds raised in the private placement (detailed below), the Company had a cash balance of </w:t>
      </w:r>
      <w:r w:rsidR="00AA69E3">
        <w:rPr>
          <w:rFonts w:ascii="Arial" w:eastAsia="Times New Roman" w:hAnsi="Arial" w:cs="Arial"/>
          <w:sz w:val="20"/>
          <w:szCs w:val="20"/>
          <w:lang w:val="en-CA"/>
        </w:rPr>
        <w:t>US</w:t>
      </w:r>
      <w:r w:rsidRPr="00CF28BC">
        <w:rPr>
          <w:rFonts w:ascii="Arial" w:eastAsia="Times New Roman" w:hAnsi="Arial" w:cs="Arial"/>
          <w:sz w:val="20"/>
          <w:szCs w:val="20"/>
          <w:lang w:val="en-CA"/>
        </w:rPr>
        <w:t>$14,920</w:t>
      </w:r>
      <w:r w:rsidR="00645854">
        <w:rPr>
          <w:rFonts w:ascii="Arial" w:eastAsia="Times New Roman" w:hAnsi="Arial" w:cs="Arial"/>
          <w:sz w:val="20"/>
          <w:szCs w:val="20"/>
          <w:lang w:val="en-CA"/>
        </w:rPr>
        <w:t>,000</w:t>
      </w:r>
      <w:r w:rsidRPr="00CF28BC">
        <w:rPr>
          <w:rFonts w:ascii="Arial" w:eastAsia="Times New Roman" w:hAnsi="Arial" w:cs="Arial"/>
          <w:sz w:val="20"/>
          <w:szCs w:val="20"/>
          <w:lang w:val="en-CA"/>
        </w:rPr>
        <w:t>.</w:t>
      </w:r>
    </w:p>
    <w:p w14:paraId="0C1E7F7F" w14:textId="77777777" w:rsidR="00CF28BC" w:rsidRPr="00CF28BC" w:rsidRDefault="00CF28BC" w:rsidP="00CF28BC">
      <w:pPr>
        <w:suppressAutoHyphens/>
        <w:spacing w:line="240" w:lineRule="atLeast"/>
        <w:ind w:left="720"/>
        <w:jc w:val="both"/>
        <w:rPr>
          <w:rFonts w:ascii="Arial" w:eastAsia="Times New Roman" w:hAnsi="Arial" w:cs="Arial"/>
          <w:sz w:val="20"/>
          <w:szCs w:val="20"/>
          <w:lang w:val="en-CA"/>
        </w:rPr>
      </w:pPr>
    </w:p>
    <w:p w14:paraId="090DF0C0" w14:textId="77777777" w:rsidR="00CF28BC" w:rsidRPr="00CF28BC" w:rsidRDefault="00CF28BC" w:rsidP="00CF28BC">
      <w:pPr>
        <w:numPr>
          <w:ilvl w:val="0"/>
          <w:numId w:val="7"/>
        </w:numPr>
        <w:suppressAutoHyphens/>
        <w:autoSpaceDE w:val="0"/>
        <w:autoSpaceDN w:val="0"/>
        <w:adjustRightInd w:val="0"/>
        <w:spacing w:line="240" w:lineRule="atLeast"/>
        <w:jc w:val="both"/>
        <w:rPr>
          <w:rFonts w:ascii="Arial" w:eastAsia="Times New Roman" w:hAnsi="Arial" w:cs="Arial"/>
          <w:sz w:val="20"/>
          <w:szCs w:val="20"/>
          <w:lang w:val="en-CA"/>
        </w:rPr>
      </w:pPr>
      <w:r w:rsidRPr="00CF28BC">
        <w:rPr>
          <w:rFonts w:ascii="Arial" w:eastAsia="Times New Roman" w:hAnsi="Arial" w:cs="Arial"/>
          <w:sz w:val="20"/>
          <w:szCs w:val="20"/>
          <w:lang w:val="en-CA"/>
        </w:rPr>
        <w:t>O</w:t>
      </w:r>
      <w:r w:rsidRPr="00CF28BC">
        <w:rPr>
          <w:rFonts w:ascii="Arial" w:eastAsia="Times New Roman" w:hAnsi="Arial" w:cs="Arial"/>
          <w:sz w:val="20"/>
          <w:szCs w:val="20"/>
        </w:rPr>
        <w:t xml:space="preserve">n September 18, 2025 the Company announced an upsized brokered private placement (the “Placing”) to raise gross proceeds of up to CAD$20 million through the issue of up to 58,823,530 common shares at a price of CAD$0.34 per common share. The Placing, which was over- subscribed, was completed on October 2 2025 and raised CAD$20 million. No warrants were issued in connection with the Placing. </w:t>
      </w:r>
      <w:bookmarkStart w:id="2" w:name="_Hlk53939099"/>
      <w:bookmarkStart w:id="3" w:name="_Hlk50646014"/>
    </w:p>
    <w:p w14:paraId="76D99F68" w14:textId="77777777" w:rsidR="00CF28BC" w:rsidRPr="00CF28BC" w:rsidRDefault="00CF28BC" w:rsidP="00CF28BC">
      <w:pPr>
        <w:autoSpaceDE w:val="0"/>
        <w:autoSpaceDN w:val="0"/>
        <w:adjustRightInd w:val="0"/>
        <w:jc w:val="both"/>
        <w:rPr>
          <w:rFonts w:ascii="Arial" w:eastAsia="Times New Roman" w:hAnsi="Arial" w:cs="Arial"/>
          <w:sz w:val="20"/>
          <w:szCs w:val="20"/>
          <w:lang w:val="en-CA"/>
        </w:rPr>
      </w:pPr>
    </w:p>
    <w:p w14:paraId="15C558B0" w14:textId="77777777" w:rsidR="00CF28BC" w:rsidRPr="00CF28BC" w:rsidRDefault="00CF28BC" w:rsidP="00CF28BC">
      <w:pPr>
        <w:numPr>
          <w:ilvl w:val="0"/>
          <w:numId w:val="7"/>
        </w:numPr>
        <w:suppressAutoHyphens/>
        <w:autoSpaceDE w:val="0"/>
        <w:autoSpaceDN w:val="0"/>
        <w:adjustRightInd w:val="0"/>
        <w:spacing w:line="240" w:lineRule="atLeast"/>
        <w:jc w:val="both"/>
        <w:rPr>
          <w:rFonts w:ascii="Arial" w:eastAsia="Times New Roman" w:hAnsi="Arial" w:cs="Arial"/>
          <w:sz w:val="20"/>
          <w:szCs w:val="20"/>
          <w:lang w:val="en-US"/>
        </w:rPr>
      </w:pPr>
      <w:r w:rsidRPr="00CF28BC">
        <w:rPr>
          <w:rFonts w:ascii="Arial" w:eastAsia="Times New Roman" w:hAnsi="Arial" w:cs="Arial"/>
          <w:sz w:val="20"/>
          <w:szCs w:val="20"/>
          <w:lang w:val="en-CA"/>
        </w:rPr>
        <w:t>Post the period end, at the Company’s AGM held on December 17, 2025</w:t>
      </w:r>
      <w:r w:rsidRPr="00CF28BC">
        <w:rPr>
          <w:rFonts w:ascii="Arial" w:eastAsia="Times New Roman" w:hAnsi="Arial" w:cs="Arial"/>
          <w:sz w:val="20"/>
          <w:szCs w:val="20"/>
          <w:lang w:val="en-US"/>
        </w:rPr>
        <w:t xml:space="preserve"> all resolutions put to shareholders were duly passed.</w:t>
      </w:r>
    </w:p>
    <w:p w14:paraId="4EE80DCF" w14:textId="77777777" w:rsidR="00CF28BC" w:rsidRPr="00CF28BC" w:rsidRDefault="00CF28BC" w:rsidP="00CF28BC">
      <w:pPr>
        <w:autoSpaceDE w:val="0"/>
        <w:autoSpaceDN w:val="0"/>
        <w:adjustRightInd w:val="0"/>
        <w:ind w:left="360"/>
        <w:jc w:val="both"/>
        <w:rPr>
          <w:rFonts w:ascii="Arial" w:eastAsia="Times New Roman" w:hAnsi="Arial" w:cs="Arial"/>
          <w:sz w:val="20"/>
          <w:szCs w:val="20"/>
          <w:lang w:val="en-CA"/>
        </w:rPr>
      </w:pPr>
    </w:p>
    <w:bookmarkEnd w:id="0"/>
    <w:bookmarkEnd w:id="2"/>
    <w:bookmarkEnd w:id="3"/>
    <w:p w14:paraId="69A18F16" w14:textId="77777777" w:rsidR="00A30F7B" w:rsidRPr="00A30F7B" w:rsidRDefault="00A30F7B" w:rsidP="00A30F7B">
      <w:pPr>
        <w:numPr>
          <w:ilvl w:val="0"/>
          <w:numId w:val="7"/>
        </w:numPr>
        <w:suppressAutoHyphens/>
        <w:autoSpaceDE w:val="0"/>
        <w:autoSpaceDN w:val="0"/>
        <w:adjustRightInd w:val="0"/>
        <w:spacing w:line="240" w:lineRule="atLeast"/>
        <w:jc w:val="both"/>
        <w:rPr>
          <w:rFonts w:ascii="Arial" w:eastAsia="Times New Roman" w:hAnsi="Arial" w:cs="Arial"/>
          <w:sz w:val="20"/>
          <w:szCs w:val="20"/>
          <w:lang w:val="en-CA"/>
        </w:rPr>
      </w:pPr>
      <w:r w:rsidRPr="00A30F7B">
        <w:rPr>
          <w:rFonts w:ascii="Arial" w:eastAsia="Times New Roman" w:hAnsi="Arial" w:cs="Arial"/>
          <w:sz w:val="20"/>
          <w:szCs w:val="20"/>
          <w:lang w:val="en-CA"/>
        </w:rPr>
        <w:t xml:space="preserve">The unaudited condensed interim consolidated financial statements have been prepared on a going concern basis under the historical cost method except for certain financial assets and liabilities which are accounted for as Assets and Liabilities held for sale (at the lower of book value or fair value) and Profit and Loss from discontinuing operations. This accounting treatment has been applied to the activities in Uruguay and Chile. </w:t>
      </w:r>
    </w:p>
    <w:p w14:paraId="6D6EE000" w14:textId="7EE32E1A" w:rsidR="002F6D79" w:rsidRPr="002F6D79" w:rsidRDefault="002F6D79" w:rsidP="00A30F7B">
      <w:pPr>
        <w:suppressAutoHyphens/>
        <w:autoSpaceDE w:val="0"/>
        <w:autoSpaceDN w:val="0"/>
        <w:adjustRightInd w:val="0"/>
        <w:spacing w:line="240" w:lineRule="atLeast"/>
        <w:ind w:left="360"/>
        <w:jc w:val="both"/>
        <w:rPr>
          <w:rFonts w:ascii="Arial" w:eastAsia="Times New Roman" w:hAnsi="Arial" w:cs="Arial"/>
          <w:sz w:val="20"/>
          <w:szCs w:val="20"/>
          <w:lang w:val="en-CA"/>
        </w:rPr>
      </w:pPr>
    </w:p>
    <w:tbl>
      <w:tblPr>
        <w:tblStyle w:val="TableGrid"/>
        <w:tblpPr w:leftFromText="180" w:rightFromText="180" w:vertAnchor="page" w:horzAnchor="margin" w:tblpY="889"/>
        <w:tblW w:w="92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701"/>
        <w:gridCol w:w="1702"/>
      </w:tblGrid>
      <w:tr w:rsidR="00E53E22" w:rsidRPr="00AD4033" w14:paraId="09BF06C0" w14:textId="77777777" w:rsidTr="00FF031E">
        <w:trPr>
          <w:trHeight w:val="225"/>
        </w:trPr>
        <w:tc>
          <w:tcPr>
            <w:tcW w:w="9200" w:type="dxa"/>
            <w:gridSpan w:val="3"/>
            <w:tcBorders>
              <w:top w:val="single" w:sz="18" w:space="0" w:color="auto"/>
              <w:left w:val="single" w:sz="18" w:space="0" w:color="auto"/>
              <w:bottom w:val="nil"/>
              <w:right w:val="single" w:sz="18" w:space="0" w:color="auto"/>
            </w:tcBorders>
          </w:tcPr>
          <w:p w14:paraId="59541539" w14:textId="77777777" w:rsidR="00E53E22" w:rsidRPr="00AD4033" w:rsidRDefault="00E53E22" w:rsidP="00FF031E">
            <w:pPr>
              <w:rPr>
                <w:rFonts w:ascii="Arial" w:hAnsi="Arial" w:cs="Arial"/>
                <w:sz w:val="20"/>
                <w:szCs w:val="20"/>
                <w:highlight w:val="yellow"/>
              </w:rPr>
            </w:pPr>
            <w:bookmarkStart w:id="4" w:name="_Hlk50645634"/>
            <w:r w:rsidRPr="00B05A0C">
              <w:rPr>
                <w:rFonts w:ascii="Arial" w:hAnsi="Arial" w:cs="Arial"/>
                <w:b/>
                <w:sz w:val="20"/>
                <w:szCs w:val="20"/>
              </w:rPr>
              <w:t xml:space="preserve">Condensed Interim Consolidated Statements of Financial Position </w:t>
            </w:r>
          </w:p>
        </w:tc>
      </w:tr>
      <w:tr w:rsidR="00E53E22" w:rsidRPr="00B05A0C" w14:paraId="7210AB5C" w14:textId="77777777" w:rsidTr="00FF031E">
        <w:tc>
          <w:tcPr>
            <w:tcW w:w="5797" w:type="dxa"/>
            <w:tcBorders>
              <w:top w:val="nil"/>
              <w:left w:val="single" w:sz="18" w:space="0" w:color="auto"/>
              <w:bottom w:val="nil"/>
              <w:right w:val="nil"/>
            </w:tcBorders>
          </w:tcPr>
          <w:p w14:paraId="00729B77" w14:textId="77777777" w:rsidR="00E53E22" w:rsidRPr="00B05A0C" w:rsidRDefault="00E53E22" w:rsidP="00FF031E">
            <w:pPr>
              <w:pStyle w:val="TableParagraph"/>
              <w:spacing w:before="42"/>
              <w:rPr>
                <w:b/>
                <w:sz w:val="20"/>
                <w:szCs w:val="20"/>
              </w:rPr>
            </w:pPr>
            <w:r w:rsidRPr="00B05A0C">
              <w:rPr>
                <w:b/>
                <w:sz w:val="20"/>
                <w:szCs w:val="20"/>
              </w:rPr>
              <w:t>(Expressed in thousands of United States dollars)</w:t>
            </w:r>
          </w:p>
        </w:tc>
        <w:tc>
          <w:tcPr>
            <w:tcW w:w="1701" w:type="dxa"/>
            <w:tcBorders>
              <w:top w:val="nil"/>
              <w:left w:val="nil"/>
              <w:bottom w:val="nil"/>
              <w:right w:val="nil"/>
            </w:tcBorders>
          </w:tcPr>
          <w:p w14:paraId="47C2E20C" w14:textId="77777777" w:rsidR="00E53E22" w:rsidRPr="00B05A0C" w:rsidRDefault="00E53E22" w:rsidP="00FF031E">
            <w:pPr>
              <w:rPr>
                <w:rFonts w:ascii="Arial" w:hAnsi="Arial" w:cs="Arial"/>
                <w:sz w:val="20"/>
                <w:szCs w:val="20"/>
              </w:rPr>
            </w:pPr>
          </w:p>
        </w:tc>
        <w:tc>
          <w:tcPr>
            <w:tcW w:w="1702" w:type="dxa"/>
            <w:tcBorders>
              <w:top w:val="nil"/>
              <w:left w:val="nil"/>
              <w:bottom w:val="nil"/>
              <w:right w:val="single" w:sz="18" w:space="0" w:color="auto"/>
            </w:tcBorders>
          </w:tcPr>
          <w:p w14:paraId="1A66BA95" w14:textId="77777777" w:rsidR="00E53E22" w:rsidRPr="00B05A0C" w:rsidRDefault="00E53E22" w:rsidP="00FF031E">
            <w:pPr>
              <w:rPr>
                <w:rFonts w:ascii="Arial" w:hAnsi="Arial" w:cs="Arial"/>
                <w:sz w:val="20"/>
                <w:szCs w:val="20"/>
              </w:rPr>
            </w:pPr>
          </w:p>
        </w:tc>
      </w:tr>
      <w:tr w:rsidR="00E53E22" w:rsidRPr="00B05A0C" w14:paraId="07BCDF96" w14:textId="77777777" w:rsidTr="00FF031E">
        <w:tc>
          <w:tcPr>
            <w:tcW w:w="5797" w:type="dxa"/>
            <w:tcBorders>
              <w:top w:val="nil"/>
              <w:left w:val="single" w:sz="18" w:space="0" w:color="auto"/>
              <w:bottom w:val="nil"/>
              <w:right w:val="nil"/>
            </w:tcBorders>
          </w:tcPr>
          <w:p w14:paraId="048AE256" w14:textId="77777777" w:rsidR="00E53E22" w:rsidRPr="00B05A0C" w:rsidRDefault="00E53E22" w:rsidP="00FF031E">
            <w:pPr>
              <w:pStyle w:val="TableParagraph"/>
              <w:spacing w:before="42"/>
              <w:rPr>
                <w:b/>
                <w:sz w:val="20"/>
                <w:szCs w:val="20"/>
              </w:rPr>
            </w:pPr>
            <w:r w:rsidRPr="00B05A0C">
              <w:rPr>
                <w:b/>
                <w:sz w:val="20"/>
                <w:szCs w:val="20"/>
              </w:rPr>
              <w:t>Unaudited</w:t>
            </w:r>
          </w:p>
        </w:tc>
        <w:tc>
          <w:tcPr>
            <w:tcW w:w="1701" w:type="dxa"/>
            <w:tcBorders>
              <w:top w:val="nil"/>
              <w:left w:val="nil"/>
              <w:bottom w:val="nil"/>
              <w:right w:val="nil"/>
            </w:tcBorders>
          </w:tcPr>
          <w:p w14:paraId="5F199EBC" w14:textId="77777777" w:rsidR="00E53E22" w:rsidRPr="00B05A0C" w:rsidRDefault="00E53E22" w:rsidP="00FF031E">
            <w:pPr>
              <w:rPr>
                <w:rFonts w:ascii="Arial" w:hAnsi="Arial" w:cs="Arial"/>
                <w:sz w:val="20"/>
                <w:szCs w:val="20"/>
              </w:rPr>
            </w:pPr>
          </w:p>
        </w:tc>
        <w:tc>
          <w:tcPr>
            <w:tcW w:w="1702" w:type="dxa"/>
            <w:tcBorders>
              <w:top w:val="nil"/>
              <w:left w:val="nil"/>
              <w:bottom w:val="nil"/>
              <w:right w:val="single" w:sz="18" w:space="0" w:color="auto"/>
            </w:tcBorders>
          </w:tcPr>
          <w:p w14:paraId="74EB738D" w14:textId="77777777" w:rsidR="00E53E22" w:rsidRPr="00B05A0C" w:rsidRDefault="00E53E22" w:rsidP="00FF031E">
            <w:pPr>
              <w:rPr>
                <w:rFonts w:ascii="Arial" w:hAnsi="Arial" w:cs="Arial"/>
                <w:sz w:val="20"/>
                <w:szCs w:val="20"/>
              </w:rPr>
            </w:pPr>
          </w:p>
        </w:tc>
      </w:tr>
      <w:tr w:rsidR="00E53E22" w:rsidRPr="00B05A0C" w14:paraId="43D82F99" w14:textId="77777777" w:rsidTr="00FF031E">
        <w:tc>
          <w:tcPr>
            <w:tcW w:w="5797" w:type="dxa"/>
            <w:tcBorders>
              <w:top w:val="nil"/>
              <w:left w:val="single" w:sz="18" w:space="0" w:color="auto"/>
              <w:bottom w:val="single" w:sz="12" w:space="0" w:color="auto"/>
              <w:right w:val="nil"/>
            </w:tcBorders>
          </w:tcPr>
          <w:p w14:paraId="73DA3E9A" w14:textId="77777777" w:rsidR="00E53E22" w:rsidRPr="00B05A0C" w:rsidRDefault="00E53E22" w:rsidP="00FF031E">
            <w:pPr>
              <w:rPr>
                <w:rFonts w:ascii="Arial" w:hAnsi="Arial" w:cs="Arial"/>
                <w:sz w:val="20"/>
                <w:szCs w:val="20"/>
              </w:rPr>
            </w:pPr>
          </w:p>
        </w:tc>
        <w:tc>
          <w:tcPr>
            <w:tcW w:w="1701" w:type="dxa"/>
            <w:tcBorders>
              <w:top w:val="nil"/>
              <w:left w:val="nil"/>
              <w:bottom w:val="single" w:sz="12" w:space="0" w:color="auto"/>
              <w:right w:val="nil"/>
            </w:tcBorders>
            <w:vAlign w:val="center"/>
          </w:tcPr>
          <w:p w14:paraId="16A0943B" w14:textId="77777777"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As at</w:t>
            </w:r>
          </w:p>
          <w:p w14:paraId="29635FB2" w14:textId="013413A6" w:rsidR="00E53E22" w:rsidRPr="00B05A0C" w:rsidRDefault="00B05A0C" w:rsidP="00FF031E">
            <w:pPr>
              <w:jc w:val="center"/>
              <w:rPr>
                <w:rFonts w:ascii="Arial" w:hAnsi="Arial" w:cs="Arial"/>
                <w:b/>
                <w:bCs/>
                <w:sz w:val="20"/>
                <w:szCs w:val="20"/>
              </w:rPr>
            </w:pPr>
            <w:r>
              <w:rPr>
                <w:rFonts w:ascii="Arial" w:hAnsi="Arial" w:cs="Arial"/>
                <w:b/>
                <w:bCs/>
                <w:sz w:val="20"/>
                <w:szCs w:val="20"/>
              </w:rPr>
              <w:t>November 30</w:t>
            </w:r>
            <w:r w:rsidR="00E53E22" w:rsidRPr="00B05A0C">
              <w:rPr>
                <w:rFonts w:ascii="Arial" w:hAnsi="Arial" w:cs="Arial"/>
                <w:b/>
                <w:bCs/>
                <w:sz w:val="20"/>
                <w:szCs w:val="20"/>
              </w:rPr>
              <w:t>, 2025</w:t>
            </w:r>
          </w:p>
          <w:p w14:paraId="645AF558" w14:textId="77777777"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w:t>
            </w:r>
          </w:p>
        </w:tc>
        <w:tc>
          <w:tcPr>
            <w:tcW w:w="1702" w:type="dxa"/>
            <w:tcBorders>
              <w:top w:val="nil"/>
              <w:left w:val="nil"/>
              <w:bottom w:val="single" w:sz="12" w:space="0" w:color="auto"/>
              <w:right w:val="single" w:sz="18" w:space="0" w:color="auto"/>
            </w:tcBorders>
            <w:vAlign w:val="center"/>
          </w:tcPr>
          <w:p w14:paraId="10832E54" w14:textId="77777777"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As at</w:t>
            </w:r>
          </w:p>
          <w:p w14:paraId="1394FB93" w14:textId="77777777"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 xml:space="preserve">May 31, </w:t>
            </w:r>
          </w:p>
          <w:p w14:paraId="5583EC93" w14:textId="2F75DADF"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202</w:t>
            </w:r>
            <w:r w:rsidR="00B05A0C">
              <w:rPr>
                <w:rFonts w:ascii="Arial" w:hAnsi="Arial" w:cs="Arial"/>
                <w:b/>
                <w:bCs/>
                <w:sz w:val="20"/>
                <w:szCs w:val="20"/>
              </w:rPr>
              <w:t>5</w:t>
            </w:r>
          </w:p>
          <w:p w14:paraId="4117A9C1" w14:textId="77777777"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w:t>
            </w:r>
          </w:p>
        </w:tc>
      </w:tr>
      <w:tr w:rsidR="00E53E22" w:rsidRPr="00B05A0C" w14:paraId="508BB4C7" w14:textId="77777777" w:rsidTr="00FF031E">
        <w:tc>
          <w:tcPr>
            <w:tcW w:w="5797" w:type="dxa"/>
            <w:tcBorders>
              <w:top w:val="single" w:sz="12" w:space="0" w:color="auto"/>
              <w:left w:val="single" w:sz="18" w:space="0" w:color="auto"/>
              <w:bottom w:val="nil"/>
              <w:right w:val="nil"/>
            </w:tcBorders>
            <w:vAlign w:val="bottom"/>
          </w:tcPr>
          <w:p w14:paraId="57A6DC4B" w14:textId="77777777" w:rsidR="00E53E22" w:rsidRPr="00B05A0C" w:rsidRDefault="00E53E22" w:rsidP="00FF031E">
            <w:r w:rsidRPr="00B05A0C">
              <w:rPr>
                <w:rFonts w:ascii="Arial" w:hAnsi="Arial" w:cs="Arial"/>
                <w:b/>
                <w:sz w:val="20"/>
              </w:rPr>
              <w:t>ASSETS</w:t>
            </w:r>
          </w:p>
        </w:tc>
        <w:tc>
          <w:tcPr>
            <w:tcW w:w="1701" w:type="dxa"/>
            <w:tcBorders>
              <w:top w:val="single" w:sz="12" w:space="0" w:color="auto"/>
              <w:left w:val="nil"/>
              <w:bottom w:val="nil"/>
              <w:right w:val="nil"/>
            </w:tcBorders>
            <w:vAlign w:val="center"/>
          </w:tcPr>
          <w:p w14:paraId="375E0FAD" w14:textId="77777777" w:rsidR="00E53E22" w:rsidRPr="00B05A0C" w:rsidRDefault="00E53E22" w:rsidP="00FF031E">
            <w:pPr>
              <w:jc w:val="right"/>
              <w:rPr>
                <w:rFonts w:ascii="Arial" w:hAnsi="Arial" w:cs="Arial"/>
                <w:sz w:val="20"/>
                <w:szCs w:val="20"/>
              </w:rPr>
            </w:pPr>
          </w:p>
        </w:tc>
        <w:tc>
          <w:tcPr>
            <w:tcW w:w="1702" w:type="dxa"/>
            <w:tcBorders>
              <w:top w:val="single" w:sz="12" w:space="0" w:color="auto"/>
              <w:left w:val="nil"/>
              <w:bottom w:val="nil"/>
              <w:right w:val="single" w:sz="18" w:space="0" w:color="auto"/>
            </w:tcBorders>
            <w:vAlign w:val="center"/>
          </w:tcPr>
          <w:p w14:paraId="2E8C1EF0" w14:textId="77777777" w:rsidR="00E53E22" w:rsidRPr="00B05A0C" w:rsidRDefault="00E53E22" w:rsidP="00FF031E">
            <w:pPr>
              <w:jc w:val="right"/>
              <w:rPr>
                <w:rFonts w:ascii="Arial" w:hAnsi="Arial" w:cs="Arial"/>
                <w:sz w:val="20"/>
                <w:szCs w:val="20"/>
              </w:rPr>
            </w:pPr>
          </w:p>
        </w:tc>
      </w:tr>
      <w:tr w:rsidR="00E53E22" w:rsidRPr="00B05A0C" w14:paraId="5E8F4F7E" w14:textId="77777777" w:rsidTr="00FF031E">
        <w:tc>
          <w:tcPr>
            <w:tcW w:w="5797" w:type="dxa"/>
            <w:tcBorders>
              <w:top w:val="nil"/>
              <w:left w:val="single" w:sz="18" w:space="0" w:color="auto"/>
              <w:bottom w:val="nil"/>
              <w:right w:val="nil"/>
            </w:tcBorders>
            <w:vAlign w:val="bottom"/>
          </w:tcPr>
          <w:p w14:paraId="1AA31D19" w14:textId="77777777" w:rsidR="00E53E22" w:rsidRPr="00B05A0C" w:rsidRDefault="00E53E22" w:rsidP="00FF031E"/>
        </w:tc>
        <w:tc>
          <w:tcPr>
            <w:tcW w:w="1701" w:type="dxa"/>
            <w:tcBorders>
              <w:top w:val="nil"/>
              <w:left w:val="nil"/>
              <w:bottom w:val="nil"/>
              <w:right w:val="nil"/>
            </w:tcBorders>
            <w:vAlign w:val="center"/>
          </w:tcPr>
          <w:p w14:paraId="7EA003A6" w14:textId="77777777" w:rsidR="00E53E22" w:rsidRPr="00B05A0C" w:rsidRDefault="00E53E22" w:rsidP="00FF031E">
            <w:pPr>
              <w:jc w:val="right"/>
              <w:rPr>
                <w:rFonts w:ascii="Arial" w:hAnsi="Arial" w:cs="Arial"/>
                <w:sz w:val="20"/>
                <w:szCs w:val="20"/>
              </w:rPr>
            </w:pPr>
          </w:p>
        </w:tc>
        <w:tc>
          <w:tcPr>
            <w:tcW w:w="1702" w:type="dxa"/>
            <w:tcBorders>
              <w:top w:val="nil"/>
              <w:left w:val="nil"/>
              <w:bottom w:val="nil"/>
              <w:right w:val="single" w:sz="18" w:space="0" w:color="auto"/>
            </w:tcBorders>
            <w:vAlign w:val="center"/>
          </w:tcPr>
          <w:p w14:paraId="5BB8E0A7" w14:textId="77777777" w:rsidR="00E53E22" w:rsidRPr="00B05A0C" w:rsidRDefault="00E53E22" w:rsidP="00FF031E">
            <w:pPr>
              <w:jc w:val="right"/>
              <w:rPr>
                <w:rFonts w:ascii="Arial" w:hAnsi="Arial" w:cs="Arial"/>
                <w:sz w:val="20"/>
                <w:szCs w:val="20"/>
              </w:rPr>
            </w:pPr>
          </w:p>
        </w:tc>
      </w:tr>
      <w:tr w:rsidR="00E53E22" w:rsidRPr="00B05A0C" w14:paraId="252488A2" w14:textId="77777777" w:rsidTr="00FF031E">
        <w:tc>
          <w:tcPr>
            <w:tcW w:w="5797" w:type="dxa"/>
            <w:tcBorders>
              <w:top w:val="nil"/>
              <w:left w:val="single" w:sz="18" w:space="0" w:color="auto"/>
              <w:bottom w:val="nil"/>
              <w:right w:val="nil"/>
            </w:tcBorders>
            <w:vAlign w:val="bottom"/>
          </w:tcPr>
          <w:p w14:paraId="3AE97309" w14:textId="77777777" w:rsidR="00E53E22" w:rsidRPr="00B05A0C" w:rsidRDefault="00E53E22" w:rsidP="00FF031E">
            <w:pPr>
              <w:pStyle w:val="TableParagraph"/>
              <w:spacing w:before="112"/>
              <w:rPr>
                <w:b/>
                <w:sz w:val="20"/>
              </w:rPr>
            </w:pPr>
            <w:r w:rsidRPr="00B05A0C">
              <w:rPr>
                <w:b/>
                <w:sz w:val="20"/>
              </w:rPr>
              <w:t>Current assets</w:t>
            </w:r>
          </w:p>
        </w:tc>
        <w:tc>
          <w:tcPr>
            <w:tcW w:w="1701" w:type="dxa"/>
            <w:tcBorders>
              <w:top w:val="nil"/>
              <w:left w:val="nil"/>
              <w:bottom w:val="nil"/>
              <w:right w:val="nil"/>
            </w:tcBorders>
            <w:vAlign w:val="center"/>
          </w:tcPr>
          <w:p w14:paraId="28EEE714" w14:textId="77777777" w:rsidR="00E53E22" w:rsidRPr="00B05A0C" w:rsidRDefault="00E53E22" w:rsidP="00FF031E">
            <w:pPr>
              <w:jc w:val="right"/>
              <w:rPr>
                <w:rFonts w:ascii="Arial" w:hAnsi="Arial" w:cs="Arial"/>
                <w:sz w:val="20"/>
                <w:szCs w:val="20"/>
              </w:rPr>
            </w:pPr>
          </w:p>
        </w:tc>
        <w:tc>
          <w:tcPr>
            <w:tcW w:w="1702" w:type="dxa"/>
            <w:tcBorders>
              <w:top w:val="nil"/>
              <w:left w:val="nil"/>
              <w:bottom w:val="nil"/>
              <w:right w:val="single" w:sz="18" w:space="0" w:color="auto"/>
            </w:tcBorders>
            <w:vAlign w:val="center"/>
          </w:tcPr>
          <w:p w14:paraId="7023B6B1" w14:textId="77777777" w:rsidR="00E53E22" w:rsidRPr="00B05A0C" w:rsidRDefault="00E53E22" w:rsidP="00FF031E">
            <w:pPr>
              <w:jc w:val="right"/>
              <w:rPr>
                <w:rFonts w:ascii="Arial" w:hAnsi="Arial" w:cs="Arial"/>
                <w:sz w:val="20"/>
                <w:szCs w:val="20"/>
              </w:rPr>
            </w:pPr>
          </w:p>
        </w:tc>
      </w:tr>
      <w:tr w:rsidR="00E53E22" w:rsidRPr="00B05A0C" w14:paraId="7BA1DDF3" w14:textId="77777777" w:rsidTr="00FF031E">
        <w:tc>
          <w:tcPr>
            <w:tcW w:w="5797" w:type="dxa"/>
            <w:tcBorders>
              <w:top w:val="nil"/>
              <w:left w:val="single" w:sz="18" w:space="0" w:color="auto"/>
              <w:bottom w:val="nil"/>
              <w:right w:val="nil"/>
            </w:tcBorders>
            <w:vAlign w:val="bottom"/>
          </w:tcPr>
          <w:p w14:paraId="059A6AB9" w14:textId="77777777" w:rsidR="00E53E22" w:rsidRPr="00B05A0C" w:rsidRDefault="00E53E22" w:rsidP="00FF031E">
            <w:pPr>
              <w:ind w:left="162"/>
              <w:rPr>
                <w:rFonts w:ascii="Arial" w:hAnsi="Arial" w:cs="Arial"/>
              </w:rPr>
            </w:pPr>
            <w:r w:rsidRPr="00B05A0C">
              <w:rPr>
                <w:rFonts w:ascii="Arial" w:hAnsi="Arial" w:cs="Arial"/>
                <w:sz w:val="20"/>
              </w:rPr>
              <w:t>Cash</w:t>
            </w:r>
          </w:p>
        </w:tc>
        <w:tc>
          <w:tcPr>
            <w:tcW w:w="1701" w:type="dxa"/>
            <w:tcBorders>
              <w:top w:val="nil"/>
              <w:left w:val="nil"/>
              <w:bottom w:val="nil"/>
              <w:right w:val="nil"/>
            </w:tcBorders>
            <w:vAlign w:val="center"/>
          </w:tcPr>
          <w:p w14:paraId="0FFCF3B5" w14:textId="4A4D4407" w:rsidR="00E53E22" w:rsidRPr="00B05A0C" w:rsidRDefault="00B05A0C" w:rsidP="00FF031E">
            <w:pPr>
              <w:jc w:val="right"/>
              <w:rPr>
                <w:rFonts w:ascii="Arial" w:hAnsi="Arial" w:cs="Arial"/>
                <w:b/>
                <w:bCs/>
                <w:sz w:val="20"/>
                <w:szCs w:val="20"/>
              </w:rPr>
            </w:pPr>
            <w:r>
              <w:rPr>
                <w:rFonts w:ascii="Arial" w:hAnsi="Arial" w:cs="Arial"/>
                <w:b/>
                <w:bCs/>
                <w:sz w:val="20"/>
                <w:szCs w:val="20"/>
              </w:rPr>
              <w:t>16,280</w:t>
            </w:r>
          </w:p>
        </w:tc>
        <w:tc>
          <w:tcPr>
            <w:tcW w:w="1702" w:type="dxa"/>
            <w:tcBorders>
              <w:top w:val="nil"/>
              <w:left w:val="nil"/>
              <w:bottom w:val="nil"/>
              <w:right w:val="single" w:sz="18" w:space="0" w:color="auto"/>
            </w:tcBorders>
            <w:vAlign w:val="center"/>
          </w:tcPr>
          <w:p w14:paraId="761E1894" w14:textId="27AF3058" w:rsidR="00E53E22" w:rsidRPr="00B05A0C" w:rsidRDefault="00B05A0C" w:rsidP="00FF031E">
            <w:pPr>
              <w:jc w:val="right"/>
              <w:rPr>
                <w:rFonts w:ascii="Arial" w:hAnsi="Arial" w:cs="Arial"/>
                <w:sz w:val="20"/>
                <w:szCs w:val="20"/>
              </w:rPr>
            </w:pPr>
            <w:r>
              <w:rPr>
                <w:rFonts w:ascii="Arial" w:hAnsi="Arial" w:cs="Arial"/>
                <w:sz w:val="20"/>
                <w:szCs w:val="20"/>
              </w:rPr>
              <w:t>4,877</w:t>
            </w:r>
          </w:p>
        </w:tc>
      </w:tr>
      <w:tr w:rsidR="00E53E22" w:rsidRPr="00B05A0C" w14:paraId="57143B93" w14:textId="77777777" w:rsidTr="00FF031E">
        <w:tc>
          <w:tcPr>
            <w:tcW w:w="5797" w:type="dxa"/>
            <w:tcBorders>
              <w:top w:val="nil"/>
              <w:left w:val="single" w:sz="18" w:space="0" w:color="auto"/>
              <w:bottom w:val="nil"/>
              <w:right w:val="nil"/>
            </w:tcBorders>
            <w:vAlign w:val="bottom"/>
          </w:tcPr>
          <w:p w14:paraId="0BCC9A9B" w14:textId="77777777" w:rsidR="00E53E22" w:rsidRPr="00B05A0C" w:rsidRDefault="00E53E22" w:rsidP="00FF031E">
            <w:pPr>
              <w:ind w:left="162"/>
              <w:rPr>
                <w:rFonts w:ascii="Arial" w:hAnsi="Arial" w:cs="Arial"/>
                <w:sz w:val="20"/>
              </w:rPr>
            </w:pPr>
            <w:r w:rsidRPr="00B05A0C">
              <w:rPr>
                <w:rFonts w:ascii="Arial" w:hAnsi="Arial" w:cs="Arial"/>
                <w:sz w:val="20"/>
              </w:rPr>
              <w:t>Restricted cash</w:t>
            </w:r>
          </w:p>
        </w:tc>
        <w:tc>
          <w:tcPr>
            <w:tcW w:w="1701" w:type="dxa"/>
            <w:tcBorders>
              <w:top w:val="nil"/>
              <w:left w:val="nil"/>
              <w:bottom w:val="nil"/>
              <w:right w:val="nil"/>
            </w:tcBorders>
            <w:vAlign w:val="center"/>
          </w:tcPr>
          <w:p w14:paraId="4353F25E" w14:textId="77777777"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12</w:t>
            </w:r>
          </w:p>
        </w:tc>
        <w:tc>
          <w:tcPr>
            <w:tcW w:w="1702" w:type="dxa"/>
            <w:tcBorders>
              <w:top w:val="nil"/>
              <w:left w:val="nil"/>
              <w:bottom w:val="nil"/>
              <w:right w:val="single" w:sz="18" w:space="0" w:color="auto"/>
            </w:tcBorders>
            <w:vAlign w:val="center"/>
          </w:tcPr>
          <w:p w14:paraId="0685D39F" w14:textId="77777777" w:rsidR="00E53E22" w:rsidRPr="00B05A0C" w:rsidRDefault="00E53E22" w:rsidP="00FF031E">
            <w:pPr>
              <w:jc w:val="right"/>
              <w:rPr>
                <w:rFonts w:ascii="Arial" w:hAnsi="Arial" w:cs="Arial"/>
                <w:sz w:val="20"/>
                <w:szCs w:val="20"/>
              </w:rPr>
            </w:pPr>
            <w:r w:rsidRPr="00B05A0C">
              <w:rPr>
                <w:rFonts w:ascii="Arial" w:hAnsi="Arial" w:cs="Arial"/>
                <w:sz w:val="20"/>
                <w:szCs w:val="20"/>
              </w:rPr>
              <w:t>12</w:t>
            </w:r>
          </w:p>
        </w:tc>
      </w:tr>
      <w:tr w:rsidR="00E53E22" w:rsidRPr="00B05A0C" w14:paraId="105E5955" w14:textId="77777777" w:rsidTr="00FF031E">
        <w:tc>
          <w:tcPr>
            <w:tcW w:w="5797" w:type="dxa"/>
            <w:tcBorders>
              <w:top w:val="nil"/>
              <w:left w:val="single" w:sz="18" w:space="0" w:color="auto"/>
              <w:bottom w:val="nil"/>
              <w:right w:val="nil"/>
            </w:tcBorders>
            <w:vAlign w:val="bottom"/>
          </w:tcPr>
          <w:p w14:paraId="3E3E54D0" w14:textId="77777777" w:rsidR="00E53E22" w:rsidRPr="00B05A0C" w:rsidRDefault="00E53E22" w:rsidP="00FF031E">
            <w:pPr>
              <w:ind w:left="162"/>
              <w:rPr>
                <w:rFonts w:ascii="Arial" w:hAnsi="Arial" w:cs="Arial"/>
                <w:sz w:val="20"/>
              </w:rPr>
            </w:pPr>
            <w:r w:rsidRPr="00B05A0C">
              <w:rPr>
                <w:rFonts w:ascii="Arial" w:hAnsi="Arial" w:cs="Arial"/>
                <w:sz w:val="20"/>
              </w:rPr>
              <w:t>Accounts receivable and other assets</w:t>
            </w:r>
          </w:p>
        </w:tc>
        <w:tc>
          <w:tcPr>
            <w:tcW w:w="1701" w:type="dxa"/>
            <w:tcBorders>
              <w:top w:val="nil"/>
              <w:left w:val="nil"/>
              <w:bottom w:val="nil"/>
              <w:right w:val="nil"/>
            </w:tcBorders>
            <w:vAlign w:val="center"/>
          </w:tcPr>
          <w:p w14:paraId="7848844E" w14:textId="0892D0C1" w:rsidR="00E53E22" w:rsidRPr="00B05A0C" w:rsidRDefault="00B05A0C" w:rsidP="00FF031E">
            <w:pPr>
              <w:jc w:val="right"/>
              <w:rPr>
                <w:rFonts w:ascii="Arial" w:hAnsi="Arial" w:cs="Arial"/>
                <w:b/>
                <w:bCs/>
                <w:sz w:val="20"/>
                <w:szCs w:val="20"/>
              </w:rPr>
            </w:pPr>
            <w:r>
              <w:rPr>
                <w:rFonts w:ascii="Arial" w:hAnsi="Arial" w:cs="Arial"/>
                <w:b/>
                <w:bCs/>
                <w:sz w:val="20"/>
                <w:szCs w:val="20"/>
              </w:rPr>
              <w:t>656</w:t>
            </w:r>
          </w:p>
        </w:tc>
        <w:tc>
          <w:tcPr>
            <w:tcW w:w="1702" w:type="dxa"/>
            <w:tcBorders>
              <w:top w:val="nil"/>
              <w:left w:val="nil"/>
              <w:bottom w:val="nil"/>
              <w:right w:val="single" w:sz="18" w:space="0" w:color="auto"/>
            </w:tcBorders>
            <w:vAlign w:val="center"/>
          </w:tcPr>
          <w:p w14:paraId="11088EE3" w14:textId="5C4A9561" w:rsidR="00E53E22" w:rsidRPr="00B05A0C" w:rsidRDefault="00B05A0C" w:rsidP="00FF031E">
            <w:pPr>
              <w:jc w:val="right"/>
              <w:rPr>
                <w:rFonts w:ascii="Arial" w:hAnsi="Arial" w:cs="Arial"/>
                <w:sz w:val="20"/>
                <w:szCs w:val="20"/>
              </w:rPr>
            </w:pPr>
            <w:r>
              <w:rPr>
                <w:rFonts w:ascii="Arial" w:hAnsi="Arial" w:cs="Arial"/>
                <w:sz w:val="20"/>
                <w:szCs w:val="20"/>
              </w:rPr>
              <w:t>434</w:t>
            </w:r>
          </w:p>
        </w:tc>
      </w:tr>
      <w:tr w:rsidR="00E53E22" w:rsidRPr="00B05A0C" w14:paraId="2CCDC78A" w14:textId="77777777" w:rsidTr="00FF031E">
        <w:tc>
          <w:tcPr>
            <w:tcW w:w="5797" w:type="dxa"/>
            <w:tcBorders>
              <w:top w:val="nil"/>
              <w:left w:val="single" w:sz="18" w:space="0" w:color="auto"/>
              <w:bottom w:val="single" w:sz="4" w:space="0" w:color="auto"/>
              <w:right w:val="nil"/>
            </w:tcBorders>
            <w:vAlign w:val="bottom"/>
          </w:tcPr>
          <w:p w14:paraId="0E95D492" w14:textId="77777777" w:rsidR="00E53E22" w:rsidRPr="00B05A0C" w:rsidRDefault="00E53E22" w:rsidP="00FF031E">
            <w:pPr>
              <w:ind w:left="162"/>
              <w:rPr>
                <w:rFonts w:ascii="Arial" w:hAnsi="Arial" w:cs="Arial"/>
                <w:sz w:val="20"/>
              </w:rPr>
            </w:pPr>
            <w:r w:rsidRPr="00B05A0C">
              <w:rPr>
                <w:rFonts w:ascii="Arial" w:hAnsi="Arial" w:cs="Arial"/>
                <w:sz w:val="20"/>
              </w:rPr>
              <w:t xml:space="preserve">Assets held for sale in Uruguay </w:t>
            </w:r>
          </w:p>
        </w:tc>
        <w:tc>
          <w:tcPr>
            <w:tcW w:w="1701" w:type="dxa"/>
            <w:tcBorders>
              <w:top w:val="nil"/>
              <w:left w:val="nil"/>
              <w:bottom w:val="single" w:sz="4" w:space="0" w:color="auto"/>
              <w:right w:val="nil"/>
            </w:tcBorders>
            <w:vAlign w:val="center"/>
          </w:tcPr>
          <w:p w14:paraId="25088B7B" w14:textId="7358C08E" w:rsidR="00E53E22" w:rsidRPr="00B05A0C" w:rsidRDefault="00B05A0C" w:rsidP="00FF031E">
            <w:pPr>
              <w:jc w:val="right"/>
              <w:rPr>
                <w:rFonts w:ascii="Arial" w:hAnsi="Arial" w:cs="Arial"/>
                <w:b/>
                <w:bCs/>
                <w:sz w:val="20"/>
                <w:szCs w:val="20"/>
              </w:rPr>
            </w:pPr>
            <w:r>
              <w:rPr>
                <w:rFonts w:ascii="Arial" w:hAnsi="Arial" w:cs="Arial"/>
                <w:b/>
                <w:bCs/>
                <w:sz w:val="20"/>
                <w:szCs w:val="20"/>
              </w:rPr>
              <w:t>1</w:t>
            </w:r>
            <w:r w:rsidR="00E53E22" w:rsidRPr="00B05A0C">
              <w:rPr>
                <w:rFonts w:ascii="Arial" w:hAnsi="Arial" w:cs="Arial"/>
                <w:b/>
                <w:bCs/>
                <w:sz w:val="20"/>
                <w:szCs w:val="20"/>
              </w:rPr>
              <w:t>0</w:t>
            </w:r>
          </w:p>
        </w:tc>
        <w:tc>
          <w:tcPr>
            <w:tcW w:w="1702" w:type="dxa"/>
            <w:tcBorders>
              <w:top w:val="nil"/>
              <w:left w:val="nil"/>
              <w:bottom w:val="single" w:sz="4" w:space="0" w:color="auto"/>
              <w:right w:val="single" w:sz="18" w:space="0" w:color="auto"/>
            </w:tcBorders>
            <w:vAlign w:val="center"/>
          </w:tcPr>
          <w:p w14:paraId="53DBA820" w14:textId="37D73E4C" w:rsidR="00E53E22" w:rsidRPr="00B05A0C" w:rsidRDefault="00E53E22" w:rsidP="00FF031E">
            <w:pPr>
              <w:jc w:val="right"/>
              <w:rPr>
                <w:rFonts w:ascii="Arial" w:hAnsi="Arial" w:cs="Arial"/>
                <w:sz w:val="20"/>
                <w:szCs w:val="20"/>
              </w:rPr>
            </w:pPr>
            <w:r w:rsidRPr="00B05A0C">
              <w:rPr>
                <w:rFonts w:ascii="Arial" w:hAnsi="Arial" w:cs="Arial"/>
                <w:sz w:val="20"/>
                <w:szCs w:val="20"/>
              </w:rPr>
              <w:t>2</w:t>
            </w:r>
            <w:r w:rsidR="00B05A0C">
              <w:rPr>
                <w:rFonts w:ascii="Arial" w:hAnsi="Arial" w:cs="Arial"/>
                <w:sz w:val="20"/>
                <w:szCs w:val="20"/>
              </w:rPr>
              <w:t>0</w:t>
            </w:r>
          </w:p>
        </w:tc>
      </w:tr>
      <w:tr w:rsidR="00E53E22" w:rsidRPr="00B05A0C" w14:paraId="0A117223" w14:textId="77777777" w:rsidTr="00FF031E">
        <w:tc>
          <w:tcPr>
            <w:tcW w:w="5797" w:type="dxa"/>
            <w:tcBorders>
              <w:top w:val="single" w:sz="4" w:space="0" w:color="auto"/>
              <w:left w:val="single" w:sz="18" w:space="0" w:color="auto"/>
              <w:bottom w:val="nil"/>
              <w:right w:val="nil"/>
            </w:tcBorders>
            <w:vAlign w:val="bottom"/>
          </w:tcPr>
          <w:p w14:paraId="6D6CD2E5" w14:textId="77777777" w:rsidR="00E53E22" w:rsidRPr="00B05A0C" w:rsidRDefault="00E53E22" w:rsidP="00FF031E">
            <w:pPr>
              <w:rPr>
                <w:rFonts w:ascii="Arial" w:hAnsi="Arial" w:cs="Arial"/>
              </w:rPr>
            </w:pPr>
            <w:r w:rsidRPr="00B05A0C">
              <w:rPr>
                <w:rFonts w:ascii="Arial" w:hAnsi="Arial" w:cs="Arial"/>
                <w:b/>
                <w:sz w:val="20"/>
              </w:rPr>
              <w:t>Total current assets</w:t>
            </w:r>
          </w:p>
        </w:tc>
        <w:tc>
          <w:tcPr>
            <w:tcW w:w="1701" w:type="dxa"/>
            <w:tcBorders>
              <w:top w:val="single" w:sz="4" w:space="0" w:color="auto"/>
              <w:left w:val="nil"/>
              <w:bottom w:val="nil"/>
              <w:right w:val="nil"/>
            </w:tcBorders>
            <w:vAlign w:val="bottom"/>
          </w:tcPr>
          <w:p w14:paraId="02E38C43" w14:textId="4DB67EA4" w:rsidR="00E53E22" w:rsidRPr="00B05A0C" w:rsidRDefault="00B05A0C" w:rsidP="00FF031E">
            <w:pPr>
              <w:jc w:val="right"/>
              <w:rPr>
                <w:rFonts w:ascii="Arial" w:hAnsi="Arial" w:cs="Arial"/>
                <w:b/>
                <w:bCs/>
                <w:sz w:val="20"/>
                <w:szCs w:val="20"/>
              </w:rPr>
            </w:pPr>
            <w:r>
              <w:rPr>
                <w:rFonts w:ascii="Arial" w:hAnsi="Arial" w:cs="Arial"/>
                <w:b/>
                <w:bCs/>
                <w:sz w:val="20"/>
                <w:szCs w:val="20"/>
              </w:rPr>
              <w:t>16,958</w:t>
            </w:r>
          </w:p>
        </w:tc>
        <w:tc>
          <w:tcPr>
            <w:tcW w:w="1702" w:type="dxa"/>
            <w:tcBorders>
              <w:top w:val="single" w:sz="4" w:space="0" w:color="auto"/>
              <w:left w:val="nil"/>
              <w:bottom w:val="nil"/>
              <w:right w:val="single" w:sz="18" w:space="0" w:color="auto"/>
            </w:tcBorders>
            <w:vAlign w:val="bottom"/>
          </w:tcPr>
          <w:p w14:paraId="6E889D8F" w14:textId="265B97EA" w:rsidR="00E53E22" w:rsidRPr="00B05A0C" w:rsidRDefault="00B05A0C" w:rsidP="00FF031E">
            <w:pPr>
              <w:jc w:val="right"/>
              <w:rPr>
                <w:rFonts w:ascii="Arial" w:hAnsi="Arial" w:cs="Arial"/>
                <w:sz w:val="20"/>
                <w:szCs w:val="20"/>
              </w:rPr>
            </w:pPr>
            <w:r>
              <w:rPr>
                <w:rFonts w:ascii="Arial" w:hAnsi="Arial" w:cs="Arial"/>
                <w:sz w:val="20"/>
                <w:szCs w:val="20"/>
              </w:rPr>
              <w:t>5,343</w:t>
            </w:r>
          </w:p>
        </w:tc>
      </w:tr>
      <w:tr w:rsidR="00E53E22" w:rsidRPr="00B05A0C" w14:paraId="3B9F6758" w14:textId="77777777" w:rsidTr="00FF031E">
        <w:tc>
          <w:tcPr>
            <w:tcW w:w="5797" w:type="dxa"/>
            <w:tcBorders>
              <w:top w:val="nil"/>
              <w:left w:val="single" w:sz="18" w:space="0" w:color="auto"/>
              <w:bottom w:val="nil"/>
              <w:right w:val="nil"/>
            </w:tcBorders>
            <w:vAlign w:val="bottom"/>
          </w:tcPr>
          <w:p w14:paraId="5A546495" w14:textId="77777777" w:rsidR="00E53E22" w:rsidRPr="00B05A0C" w:rsidRDefault="00E53E22" w:rsidP="00FF031E">
            <w:pPr>
              <w:rPr>
                <w:rFonts w:ascii="Arial" w:hAnsi="Arial" w:cs="Arial"/>
              </w:rPr>
            </w:pPr>
          </w:p>
        </w:tc>
        <w:tc>
          <w:tcPr>
            <w:tcW w:w="1701" w:type="dxa"/>
            <w:tcBorders>
              <w:top w:val="nil"/>
              <w:left w:val="nil"/>
              <w:bottom w:val="nil"/>
              <w:right w:val="nil"/>
            </w:tcBorders>
            <w:vAlign w:val="bottom"/>
          </w:tcPr>
          <w:p w14:paraId="72A386FC" w14:textId="77777777" w:rsidR="00E53E22" w:rsidRPr="00B05A0C" w:rsidRDefault="00E53E22" w:rsidP="00FF031E">
            <w:pPr>
              <w:jc w:val="right"/>
              <w:rPr>
                <w:rFonts w:ascii="Arial" w:hAnsi="Arial" w:cs="Arial"/>
                <w:b/>
                <w:bCs/>
                <w:sz w:val="20"/>
                <w:szCs w:val="20"/>
              </w:rPr>
            </w:pPr>
          </w:p>
        </w:tc>
        <w:tc>
          <w:tcPr>
            <w:tcW w:w="1702" w:type="dxa"/>
            <w:tcBorders>
              <w:top w:val="nil"/>
              <w:left w:val="nil"/>
              <w:bottom w:val="nil"/>
              <w:right w:val="single" w:sz="18" w:space="0" w:color="auto"/>
            </w:tcBorders>
            <w:vAlign w:val="bottom"/>
          </w:tcPr>
          <w:p w14:paraId="067E701B" w14:textId="77777777" w:rsidR="00E53E22" w:rsidRPr="00B05A0C" w:rsidRDefault="00E53E22" w:rsidP="00FF031E">
            <w:pPr>
              <w:jc w:val="right"/>
              <w:rPr>
                <w:rFonts w:ascii="Arial" w:hAnsi="Arial" w:cs="Arial"/>
                <w:sz w:val="20"/>
                <w:szCs w:val="20"/>
              </w:rPr>
            </w:pPr>
          </w:p>
        </w:tc>
      </w:tr>
      <w:tr w:rsidR="00E53E22" w:rsidRPr="00B05A0C" w14:paraId="1A4E3B0E" w14:textId="77777777" w:rsidTr="00FF031E">
        <w:tc>
          <w:tcPr>
            <w:tcW w:w="5797" w:type="dxa"/>
            <w:tcBorders>
              <w:top w:val="nil"/>
              <w:left w:val="single" w:sz="18" w:space="0" w:color="auto"/>
              <w:bottom w:val="nil"/>
              <w:right w:val="nil"/>
            </w:tcBorders>
            <w:vAlign w:val="bottom"/>
          </w:tcPr>
          <w:p w14:paraId="6D4C62E6" w14:textId="77777777" w:rsidR="00E53E22" w:rsidRPr="00B05A0C" w:rsidRDefault="00E53E22" w:rsidP="00FF031E">
            <w:pPr>
              <w:pStyle w:val="TableParagraph"/>
              <w:spacing w:before="112"/>
              <w:rPr>
                <w:b/>
                <w:sz w:val="20"/>
              </w:rPr>
            </w:pPr>
            <w:r w:rsidRPr="00B05A0C">
              <w:rPr>
                <w:b/>
                <w:sz w:val="20"/>
              </w:rPr>
              <w:t>Non-current assets</w:t>
            </w:r>
          </w:p>
        </w:tc>
        <w:tc>
          <w:tcPr>
            <w:tcW w:w="1701" w:type="dxa"/>
            <w:tcBorders>
              <w:top w:val="nil"/>
              <w:left w:val="nil"/>
              <w:bottom w:val="nil"/>
              <w:right w:val="nil"/>
            </w:tcBorders>
            <w:vAlign w:val="bottom"/>
          </w:tcPr>
          <w:p w14:paraId="267AF9C8" w14:textId="77777777" w:rsidR="00E53E22" w:rsidRPr="00B05A0C" w:rsidRDefault="00E53E22" w:rsidP="00FF031E">
            <w:pPr>
              <w:jc w:val="right"/>
              <w:rPr>
                <w:rFonts w:ascii="Arial" w:hAnsi="Arial" w:cs="Arial"/>
                <w:b/>
                <w:bCs/>
                <w:sz w:val="20"/>
                <w:szCs w:val="20"/>
              </w:rPr>
            </w:pPr>
          </w:p>
        </w:tc>
        <w:tc>
          <w:tcPr>
            <w:tcW w:w="1702" w:type="dxa"/>
            <w:tcBorders>
              <w:top w:val="nil"/>
              <w:left w:val="nil"/>
              <w:bottom w:val="nil"/>
              <w:right w:val="single" w:sz="18" w:space="0" w:color="auto"/>
            </w:tcBorders>
            <w:vAlign w:val="bottom"/>
          </w:tcPr>
          <w:p w14:paraId="56CD3A9B" w14:textId="77777777" w:rsidR="00E53E22" w:rsidRPr="00B05A0C" w:rsidRDefault="00E53E22" w:rsidP="00FF031E">
            <w:pPr>
              <w:jc w:val="right"/>
              <w:rPr>
                <w:rFonts w:ascii="Arial" w:hAnsi="Arial" w:cs="Arial"/>
                <w:sz w:val="20"/>
                <w:szCs w:val="20"/>
              </w:rPr>
            </w:pPr>
          </w:p>
        </w:tc>
      </w:tr>
      <w:tr w:rsidR="00E53E22" w:rsidRPr="00B05A0C" w14:paraId="2C8575AC" w14:textId="77777777" w:rsidTr="00FF031E">
        <w:tc>
          <w:tcPr>
            <w:tcW w:w="5797" w:type="dxa"/>
            <w:tcBorders>
              <w:top w:val="nil"/>
              <w:left w:val="single" w:sz="18" w:space="0" w:color="auto"/>
              <w:bottom w:val="nil"/>
              <w:right w:val="nil"/>
            </w:tcBorders>
            <w:vAlign w:val="bottom"/>
          </w:tcPr>
          <w:p w14:paraId="463C4D65" w14:textId="77777777" w:rsidR="00E53E22" w:rsidRPr="00B05A0C" w:rsidRDefault="00E53E22" w:rsidP="00FF031E">
            <w:pPr>
              <w:ind w:left="162"/>
              <w:rPr>
                <w:rFonts w:ascii="Arial" w:hAnsi="Arial" w:cs="Arial"/>
                <w:sz w:val="20"/>
              </w:rPr>
            </w:pPr>
            <w:r w:rsidRPr="00B05A0C">
              <w:rPr>
                <w:rFonts w:ascii="Arial" w:hAnsi="Arial" w:cs="Arial"/>
                <w:sz w:val="20"/>
              </w:rPr>
              <w:t>Property and equipment</w:t>
            </w:r>
          </w:p>
        </w:tc>
        <w:tc>
          <w:tcPr>
            <w:tcW w:w="1701" w:type="dxa"/>
            <w:tcBorders>
              <w:top w:val="nil"/>
              <w:left w:val="nil"/>
              <w:bottom w:val="nil"/>
              <w:right w:val="nil"/>
            </w:tcBorders>
            <w:vAlign w:val="bottom"/>
          </w:tcPr>
          <w:p w14:paraId="1271F635" w14:textId="514A71ED"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3</w:t>
            </w:r>
            <w:r w:rsidR="00B05A0C">
              <w:rPr>
                <w:rFonts w:ascii="Arial" w:hAnsi="Arial" w:cs="Arial"/>
                <w:b/>
                <w:bCs/>
                <w:sz w:val="20"/>
                <w:szCs w:val="20"/>
              </w:rPr>
              <w:t>00</w:t>
            </w:r>
          </w:p>
        </w:tc>
        <w:tc>
          <w:tcPr>
            <w:tcW w:w="1702" w:type="dxa"/>
            <w:tcBorders>
              <w:top w:val="nil"/>
              <w:left w:val="nil"/>
              <w:bottom w:val="nil"/>
              <w:right w:val="single" w:sz="18" w:space="0" w:color="auto"/>
            </w:tcBorders>
            <w:vAlign w:val="bottom"/>
          </w:tcPr>
          <w:p w14:paraId="38FF12EA" w14:textId="75F42F7E" w:rsidR="00E53E22" w:rsidRPr="00B05A0C" w:rsidRDefault="00E53E22" w:rsidP="00FF031E">
            <w:pPr>
              <w:jc w:val="right"/>
              <w:rPr>
                <w:rFonts w:ascii="Arial" w:hAnsi="Arial" w:cs="Arial"/>
                <w:sz w:val="20"/>
                <w:szCs w:val="20"/>
              </w:rPr>
            </w:pPr>
            <w:r w:rsidRPr="00B05A0C">
              <w:rPr>
                <w:rFonts w:ascii="Arial" w:hAnsi="Arial" w:cs="Arial"/>
                <w:sz w:val="20"/>
                <w:szCs w:val="20"/>
              </w:rPr>
              <w:t>2</w:t>
            </w:r>
            <w:r w:rsidR="00B05A0C">
              <w:rPr>
                <w:rFonts w:ascii="Arial" w:hAnsi="Arial" w:cs="Arial"/>
                <w:sz w:val="20"/>
                <w:szCs w:val="20"/>
              </w:rPr>
              <w:t>88</w:t>
            </w:r>
          </w:p>
        </w:tc>
      </w:tr>
      <w:tr w:rsidR="00E53E22" w:rsidRPr="00B05A0C" w14:paraId="53D543FE" w14:textId="77777777" w:rsidTr="00FF031E">
        <w:tc>
          <w:tcPr>
            <w:tcW w:w="5797" w:type="dxa"/>
            <w:tcBorders>
              <w:top w:val="nil"/>
              <w:left w:val="single" w:sz="18" w:space="0" w:color="auto"/>
              <w:bottom w:val="nil"/>
              <w:right w:val="nil"/>
            </w:tcBorders>
            <w:vAlign w:val="bottom"/>
          </w:tcPr>
          <w:p w14:paraId="17001916" w14:textId="77777777" w:rsidR="00E53E22" w:rsidRPr="00B05A0C" w:rsidRDefault="00E53E22" w:rsidP="00FF031E">
            <w:pPr>
              <w:ind w:left="162"/>
              <w:rPr>
                <w:rFonts w:ascii="Arial" w:hAnsi="Arial" w:cs="Arial"/>
                <w:sz w:val="20"/>
              </w:rPr>
            </w:pPr>
            <w:r w:rsidRPr="00B05A0C">
              <w:rPr>
                <w:rFonts w:ascii="Arial" w:hAnsi="Arial" w:cs="Arial"/>
                <w:sz w:val="20"/>
              </w:rPr>
              <w:t>Exploration and evaluation assets</w:t>
            </w:r>
          </w:p>
        </w:tc>
        <w:tc>
          <w:tcPr>
            <w:tcW w:w="1701" w:type="dxa"/>
            <w:tcBorders>
              <w:top w:val="nil"/>
              <w:left w:val="nil"/>
              <w:bottom w:val="nil"/>
              <w:right w:val="nil"/>
            </w:tcBorders>
            <w:vAlign w:val="bottom"/>
          </w:tcPr>
          <w:p w14:paraId="79CF0D0C" w14:textId="3B4DAC57" w:rsidR="00E53E22" w:rsidRPr="00B05A0C" w:rsidDel="00623200" w:rsidRDefault="00E53E22" w:rsidP="00FF031E">
            <w:pPr>
              <w:jc w:val="right"/>
              <w:rPr>
                <w:rFonts w:ascii="Arial" w:hAnsi="Arial" w:cs="Arial"/>
                <w:b/>
                <w:bCs/>
                <w:sz w:val="20"/>
                <w:szCs w:val="20"/>
              </w:rPr>
            </w:pPr>
            <w:r w:rsidRPr="00B05A0C">
              <w:rPr>
                <w:rFonts w:ascii="Arial" w:hAnsi="Arial" w:cs="Arial"/>
                <w:b/>
                <w:bCs/>
                <w:sz w:val="20"/>
                <w:szCs w:val="20"/>
              </w:rPr>
              <w:t>6,3</w:t>
            </w:r>
            <w:r w:rsidR="00B05A0C">
              <w:rPr>
                <w:rFonts w:ascii="Arial" w:hAnsi="Arial" w:cs="Arial"/>
                <w:b/>
                <w:bCs/>
                <w:sz w:val="20"/>
                <w:szCs w:val="20"/>
              </w:rPr>
              <w:t>35</w:t>
            </w:r>
          </w:p>
        </w:tc>
        <w:tc>
          <w:tcPr>
            <w:tcW w:w="1702" w:type="dxa"/>
            <w:tcBorders>
              <w:top w:val="nil"/>
              <w:left w:val="nil"/>
              <w:bottom w:val="nil"/>
              <w:right w:val="single" w:sz="18" w:space="0" w:color="auto"/>
            </w:tcBorders>
            <w:vAlign w:val="bottom"/>
          </w:tcPr>
          <w:p w14:paraId="17347E12" w14:textId="2F65B7E3" w:rsidR="00E53E22" w:rsidRPr="00B05A0C" w:rsidRDefault="00E53E22" w:rsidP="00FF031E">
            <w:pPr>
              <w:jc w:val="right"/>
              <w:rPr>
                <w:rFonts w:ascii="Arial" w:hAnsi="Arial" w:cs="Arial"/>
                <w:sz w:val="20"/>
                <w:szCs w:val="20"/>
              </w:rPr>
            </w:pPr>
            <w:r w:rsidRPr="00B05A0C">
              <w:rPr>
                <w:rFonts w:ascii="Arial" w:hAnsi="Arial" w:cs="Arial"/>
                <w:sz w:val="20"/>
                <w:szCs w:val="20"/>
              </w:rPr>
              <w:t>3,</w:t>
            </w:r>
            <w:r w:rsidR="00B05A0C">
              <w:rPr>
                <w:rFonts w:ascii="Arial" w:hAnsi="Arial" w:cs="Arial"/>
                <w:sz w:val="20"/>
                <w:szCs w:val="20"/>
              </w:rPr>
              <w:t>858</w:t>
            </w:r>
          </w:p>
        </w:tc>
      </w:tr>
      <w:tr w:rsidR="00E53E22" w:rsidRPr="00B05A0C" w14:paraId="437F9E46" w14:textId="77777777" w:rsidTr="00FF031E">
        <w:tc>
          <w:tcPr>
            <w:tcW w:w="5797" w:type="dxa"/>
            <w:tcBorders>
              <w:top w:val="single" w:sz="4" w:space="0" w:color="auto"/>
              <w:left w:val="single" w:sz="18" w:space="0" w:color="auto"/>
              <w:bottom w:val="single" w:sz="12" w:space="0" w:color="auto"/>
              <w:right w:val="nil"/>
            </w:tcBorders>
            <w:vAlign w:val="bottom"/>
          </w:tcPr>
          <w:p w14:paraId="749446C4" w14:textId="77777777" w:rsidR="00E53E22" w:rsidRPr="00B05A0C" w:rsidRDefault="00E53E22" w:rsidP="00FF031E">
            <w:pPr>
              <w:rPr>
                <w:rFonts w:ascii="Arial" w:hAnsi="Arial" w:cs="Arial"/>
              </w:rPr>
            </w:pPr>
            <w:r w:rsidRPr="00B05A0C">
              <w:rPr>
                <w:rFonts w:ascii="Arial" w:hAnsi="Arial" w:cs="Arial"/>
                <w:b/>
                <w:sz w:val="20"/>
              </w:rPr>
              <w:t>Total assets</w:t>
            </w:r>
          </w:p>
        </w:tc>
        <w:tc>
          <w:tcPr>
            <w:tcW w:w="1701" w:type="dxa"/>
            <w:tcBorders>
              <w:top w:val="single" w:sz="4" w:space="0" w:color="auto"/>
              <w:left w:val="nil"/>
              <w:bottom w:val="single" w:sz="12" w:space="0" w:color="auto"/>
              <w:right w:val="nil"/>
            </w:tcBorders>
            <w:vAlign w:val="bottom"/>
          </w:tcPr>
          <w:p w14:paraId="776BC610" w14:textId="3E506FDF" w:rsidR="00E53E22" w:rsidRPr="00B05A0C" w:rsidRDefault="00B05A0C" w:rsidP="00FF031E">
            <w:pPr>
              <w:jc w:val="right"/>
              <w:rPr>
                <w:rFonts w:ascii="Arial" w:hAnsi="Arial" w:cs="Arial"/>
                <w:b/>
                <w:bCs/>
                <w:sz w:val="20"/>
                <w:szCs w:val="20"/>
              </w:rPr>
            </w:pPr>
            <w:r>
              <w:rPr>
                <w:rFonts w:ascii="Arial" w:hAnsi="Arial" w:cs="Arial"/>
                <w:b/>
                <w:bCs/>
                <w:sz w:val="20"/>
                <w:szCs w:val="20"/>
              </w:rPr>
              <w:t>23,593</w:t>
            </w:r>
          </w:p>
        </w:tc>
        <w:tc>
          <w:tcPr>
            <w:tcW w:w="1702" w:type="dxa"/>
            <w:tcBorders>
              <w:top w:val="single" w:sz="4" w:space="0" w:color="auto"/>
              <w:left w:val="nil"/>
              <w:bottom w:val="single" w:sz="12" w:space="0" w:color="auto"/>
              <w:right w:val="single" w:sz="18" w:space="0" w:color="auto"/>
            </w:tcBorders>
            <w:vAlign w:val="bottom"/>
          </w:tcPr>
          <w:p w14:paraId="7C9A38BD" w14:textId="680E0988" w:rsidR="00E53E22" w:rsidRPr="00B05A0C" w:rsidRDefault="00B05A0C" w:rsidP="00FF031E">
            <w:pPr>
              <w:jc w:val="right"/>
              <w:rPr>
                <w:rFonts w:ascii="Arial" w:hAnsi="Arial" w:cs="Arial"/>
                <w:sz w:val="20"/>
                <w:szCs w:val="20"/>
              </w:rPr>
            </w:pPr>
            <w:r>
              <w:rPr>
                <w:rFonts w:ascii="Arial" w:hAnsi="Arial" w:cs="Arial"/>
                <w:sz w:val="20"/>
                <w:szCs w:val="20"/>
              </w:rPr>
              <w:t>9,489</w:t>
            </w:r>
          </w:p>
        </w:tc>
      </w:tr>
      <w:tr w:rsidR="00E53E22" w:rsidRPr="00B05A0C" w14:paraId="452CB256" w14:textId="77777777" w:rsidTr="00FF031E">
        <w:tc>
          <w:tcPr>
            <w:tcW w:w="5797" w:type="dxa"/>
            <w:tcBorders>
              <w:top w:val="single" w:sz="12" w:space="0" w:color="auto"/>
              <w:left w:val="single" w:sz="18" w:space="0" w:color="auto"/>
              <w:bottom w:val="nil"/>
              <w:right w:val="nil"/>
            </w:tcBorders>
            <w:vAlign w:val="bottom"/>
          </w:tcPr>
          <w:p w14:paraId="11E7C7C3" w14:textId="77777777" w:rsidR="00E53E22" w:rsidRPr="00B05A0C" w:rsidRDefault="00E53E22" w:rsidP="00FF031E">
            <w:pPr>
              <w:rPr>
                <w:rFonts w:ascii="Arial" w:hAnsi="Arial" w:cs="Arial"/>
              </w:rPr>
            </w:pPr>
          </w:p>
        </w:tc>
        <w:tc>
          <w:tcPr>
            <w:tcW w:w="1701" w:type="dxa"/>
            <w:tcBorders>
              <w:top w:val="single" w:sz="12" w:space="0" w:color="auto"/>
              <w:left w:val="nil"/>
              <w:bottom w:val="nil"/>
              <w:right w:val="nil"/>
            </w:tcBorders>
            <w:vAlign w:val="center"/>
          </w:tcPr>
          <w:p w14:paraId="03E73FA3" w14:textId="77777777" w:rsidR="00E53E22" w:rsidRPr="00B05A0C" w:rsidRDefault="00E53E22" w:rsidP="00FF031E">
            <w:pPr>
              <w:jc w:val="right"/>
              <w:rPr>
                <w:rFonts w:ascii="Arial" w:hAnsi="Arial" w:cs="Arial"/>
                <w:b/>
                <w:bCs/>
                <w:sz w:val="20"/>
                <w:szCs w:val="20"/>
              </w:rPr>
            </w:pPr>
          </w:p>
        </w:tc>
        <w:tc>
          <w:tcPr>
            <w:tcW w:w="1702" w:type="dxa"/>
            <w:tcBorders>
              <w:top w:val="single" w:sz="12" w:space="0" w:color="auto"/>
              <w:left w:val="nil"/>
              <w:bottom w:val="nil"/>
              <w:right w:val="single" w:sz="18" w:space="0" w:color="auto"/>
            </w:tcBorders>
            <w:vAlign w:val="center"/>
          </w:tcPr>
          <w:p w14:paraId="598101BE" w14:textId="77777777" w:rsidR="00E53E22" w:rsidRPr="00B05A0C" w:rsidRDefault="00E53E22" w:rsidP="00FF031E">
            <w:pPr>
              <w:jc w:val="right"/>
              <w:rPr>
                <w:rFonts w:ascii="Arial" w:hAnsi="Arial" w:cs="Arial"/>
                <w:sz w:val="20"/>
                <w:szCs w:val="20"/>
              </w:rPr>
            </w:pPr>
          </w:p>
        </w:tc>
      </w:tr>
      <w:tr w:rsidR="00E53E22" w:rsidRPr="00B05A0C" w14:paraId="116D904E" w14:textId="77777777" w:rsidTr="00FF031E">
        <w:tc>
          <w:tcPr>
            <w:tcW w:w="5797" w:type="dxa"/>
            <w:tcBorders>
              <w:top w:val="nil"/>
              <w:left w:val="single" w:sz="18" w:space="0" w:color="auto"/>
              <w:bottom w:val="nil"/>
              <w:right w:val="nil"/>
            </w:tcBorders>
            <w:vAlign w:val="bottom"/>
          </w:tcPr>
          <w:p w14:paraId="5EC25EB0" w14:textId="77777777" w:rsidR="00E53E22" w:rsidRPr="00B05A0C" w:rsidRDefault="00E53E22" w:rsidP="00FF031E">
            <w:pPr>
              <w:rPr>
                <w:rFonts w:ascii="Arial" w:hAnsi="Arial" w:cs="Arial"/>
                <w:sz w:val="20"/>
                <w:szCs w:val="20"/>
              </w:rPr>
            </w:pPr>
            <w:r w:rsidRPr="00B05A0C">
              <w:rPr>
                <w:rFonts w:ascii="Arial" w:hAnsi="Arial" w:cs="Arial"/>
                <w:b/>
                <w:sz w:val="20"/>
                <w:szCs w:val="20"/>
              </w:rPr>
              <w:t>LIABILITIES AND EQUITY</w:t>
            </w:r>
          </w:p>
        </w:tc>
        <w:tc>
          <w:tcPr>
            <w:tcW w:w="1701" w:type="dxa"/>
            <w:tcBorders>
              <w:top w:val="nil"/>
              <w:left w:val="nil"/>
              <w:bottom w:val="nil"/>
              <w:right w:val="nil"/>
            </w:tcBorders>
            <w:vAlign w:val="center"/>
          </w:tcPr>
          <w:p w14:paraId="61B770C9" w14:textId="77777777" w:rsidR="00E53E22" w:rsidRPr="00B05A0C" w:rsidRDefault="00E53E22" w:rsidP="00FF031E">
            <w:pPr>
              <w:jc w:val="right"/>
              <w:rPr>
                <w:rFonts w:ascii="Arial" w:hAnsi="Arial" w:cs="Arial"/>
                <w:b/>
                <w:bCs/>
                <w:sz w:val="20"/>
                <w:szCs w:val="20"/>
              </w:rPr>
            </w:pPr>
          </w:p>
        </w:tc>
        <w:tc>
          <w:tcPr>
            <w:tcW w:w="1702" w:type="dxa"/>
            <w:tcBorders>
              <w:top w:val="nil"/>
              <w:left w:val="nil"/>
              <w:bottom w:val="nil"/>
              <w:right w:val="single" w:sz="18" w:space="0" w:color="auto"/>
            </w:tcBorders>
            <w:vAlign w:val="center"/>
          </w:tcPr>
          <w:p w14:paraId="556EA99B" w14:textId="77777777" w:rsidR="00E53E22" w:rsidRPr="00B05A0C" w:rsidRDefault="00E53E22" w:rsidP="00FF031E">
            <w:pPr>
              <w:jc w:val="right"/>
              <w:rPr>
                <w:rFonts w:ascii="Arial" w:hAnsi="Arial" w:cs="Arial"/>
                <w:sz w:val="20"/>
                <w:szCs w:val="20"/>
              </w:rPr>
            </w:pPr>
          </w:p>
        </w:tc>
      </w:tr>
      <w:tr w:rsidR="00E53E22" w:rsidRPr="00B05A0C" w14:paraId="2E5675BE" w14:textId="77777777" w:rsidTr="00FF031E">
        <w:tc>
          <w:tcPr>
            <w:tcW w:w="5797" w:type="dxa"/>
            <w:tcBorders>
              <w:top w:val="nil"/>
              <w:left w:val="single" w:sz="18" w:space="0" w:color="auto"/>
              <w:bottom w:val="nil"/>
              <w:right w:val="nil"/>
            </w:tcBorders>
            <w:vAlign w:val="bottom"/>
          </w:tcPr>
          <w:p w14:paraId="3345B084" w14:textId="77777777" w:rsidR="00E53E22" w:rsidRPr="00B05A0C" w:rsidRDefault="00E53E22" w:rsidP="00FF031E">
            <w:pPr>
              <w:rPr>
                <w:rFonts w:ascii="Arial" w:hAnsi="Arial" w:cs="Arial"/>
                <w:sz w:val="20"/>
                <w:szCs w:val="20"/>
              </w:rPr>
            </w:pPr>
          </w:p>
        </w:tc>
        <w:tc>
          <w:tcPr>
            <w:tcW w:w="1701" w:type="dxa"/>
            <w:tcBorders>
              <w:top w:val="nil"/>
              <w:left w:val="nil"/>
              <w:bottom w:val="nil"/>
              <w:right w:val="nil"/>
            </w:tcBorders>
            <w:vAlign w:val="center"/>
          </w:tcPr>
          <w:p w14:paraId="139189ED" w14:textId="77777777" w:rsidR="00E53E22" w:rsidRPr="00B05A0C" w:rsidRDefault="00E53E22" w:rsidP="00FF031E">
            <w:pPr>
              <w:jc w:val="right"/>
              <w:rPr>
                <w:rFonts w:ascii="Arial" w:hAnsi="Arial" w:cs="Arial"/>
                <w:b/>
                <w:bCs/>
                <w:sz w:val="20"/>
                <w:szCs w:val="20"/>
              </w:rPr>
            </w:pPr>
          </w:p>
        </w:tc>
        <w:tc>
          <w:tcPr>
            <w:tcW w:w="1702" w:type="dxa"/>
            <w:tcBorders>
              <w:top w:val="nil"/>
              <w:left w:val="nil"/>
              <w:bottom w:val="nil"/>
              <w:right w:val="single" w:sz="18" w:space="0" w:color="auto"/>
            </w:tcBorders>
            <w:vAlign w:val="center"/>
          </w:tcPr>
          <w:p w14:paraId="516517FF" w14:textId="77777777" w:rsidR="00E53E22" w:rsidRPr="00B05A0C" w:rsidRDefault="00E53E22" w:rsidP="00FF031E">
            <w:pPr>
              <w:jc w:val="right"/>
              <w:rPr>
                <w:rFonts w:ascii="Arial" w:hAnsi="Arial" w:cs="Arial"/>
                <w:sz w:val="20"/>
                <w:szCs w:val="20"/>
              </w:rPr>
            </w:pPr>
          </w:p>
        </w:tc>
      </w:tr>
      <w:tr w:rsidR="00E53E22" w:rsidRPr="00B05A0C" w14:paraId="627364DA" w14:textId="77777777" w:rsidTr="00FF031E">
        <w:tc>
          <w:tcPr>
            <w:tcW w:w="5797" w:type="dxa"/>
            <w:tcBorders>
              <w:top w:val="nil"/>
              <w:left w:val="single" w:sz="18" w:space="0" w:color="auto"/>
              <w:bottom w:val="nil"/>
              <w:right w:val="nil"/>
            </w:tcBorders>
            <w:vAlign w:val="bottom"/>
          </w:tcPr>
          <w:p w14:paraId="45EFC746" w14:textId="77777777" w:rsidR="00E53E22" w:rsidRPr="00B05A0C" w:rsidRDefault="00E53E22" w:rsidP="00FF031E">
            <w:pPr>
              <w:pStyle w:val="TableParagraph"/>
              <w:spacing w:before="112"/>
              <w:rPr>
                <w:b/>
                <w:sz w:val="20"/>
                <w:szCs w:val="20"/>
              </w:rPr>
            </w:pPr>
            <w:r w:rsidRPr="00B05A0C">
              <w:rPr>
                <w:b/>
                <w:sz w:val="20"/>
                <w:szCs w:val="20"/>
              </w:rPr>
              <w:t>Current liabilities</w:t>
            </w:r>
          </w:p>
        </w:tc>
        <w:tc>
          <w:tcPr>
            <w:tcW w:w="1701" w:type="dxa"/>
            <w:tcBorders>
              <w:top w:val="nil"/>
              <w:left w:val="nil"/>
              <w:bottom w:val="nil"/>
              <w:right w:val="nil"/>
            </w:tcBorders>
            <w:vAlign w:val="center"/>
          </w:tcPr>
          <w:p w14:paraId="1ABCACB0" w14:textId="77777777" w:rsidR="00E53E22" w:rsidRPr="00B05A0C" w:rsidRDefault="00E53E22" w:rsidP="00FF031E">
            <w:pPr>
              <w:jc w:val="right"/>
              <w:rPr>
                <w:rFonts w:ascii="Arial" w:hAnsi="Arial" w:cs="Arial"/>
                <w:b/>
                <w:bCs/>
                <w:sz w:val="20"/>
                <w:szCs w:val="20"/>
              </w:rPr>
            </w:pPr>
          </w:p>
        </w:tc>
        <w:tc>
          <w:tcPr>
            <w:tcW w:w="1702" w:type="dxa"/>
            <w:tcBorders>
              <w:top w:val="nil"/>
              <w:left w:val="nil"/>
              <w:bottom w:val="nil"/>
              <w:right w:val="single" w:sz="18" w:space="0" w:color="auto"/>
            </w:tcBorders>
            <w:vAlign w:val="center"/>
          </w:tcPr>
          <w:p w14:paraId="533990C3" w14:textId="77777777" w:rsidR="00E53E22" w:rsidRPr="00B05A0C" w:rsidRDefault="00E53E22" w:rsidP="00FF031E">
            <w:pPr>
              <w:jc w:val="right"/>
              <w:rPr>
                <w:rFonts w:ascii="Arial" w:hAnsi="Arial" w:cs="Arial"/>
                <w:sz w:val="20"/>
                <w:szCs w:val="20"/>
              </w:rPr>
            </w:pPr>
          </w:p>
        </w:tc>
      </w:tr>
      <w:tr w:rsidR="00E53E22" w:rsidRPr="00B05A0C" w14:paraId="2A3A0632" w14:textId="77777777" w:rsidTr="00FF031E">
        <w:tc>
          <w:tcPr>
            <w:tcW w:w="5797" w:type="dxa"/>
            <w:tcBorders>
              <w:top w:val="nil"/>
              <w:left w:val="single" w:sz="18" w:space="0" w:color="auto"/>
              <w:bottom w:val="nil"/>
              <w:right w:val="nil"/>
            </w:tcBorders>
            <w:vAlign w:val="bottom"/>
          </w:tcPr>
          <w:p w14:paraId="7FF0DB21" w14:textId="77777777" w:rsidR="00E53E22" w:rsidRPr="00B05A0C" w:rsidRDefault="00E53E22" w:rsidP="00FF031E">
            <w:pPr>
              <w:ind w:left="162"/>
              <w:rPr>
                <w:rFonts w:ascii="Arial" w:hAnsi="Arial" w:cs="Arial"/>
                <w:sz w:val="20"/>
                <w:szCs w:val="24"/>
              </w:rPr>
            </w:pPr>
            <w:r w:rsidRPr="00B05A0C">
              <w:rPr>
                <w:rFonts w:ascii="Arial" w:hAnsi="Arial" w:cs="Arial"/>
                <w:sz w:val="20"/>
              </w:rPr>
              <w:t>Accounts payable and accrued liabilities</w:t>
            </w:r>
          </w:p>
        </w:tc>
        <w:tc>
          <w:tcPr>
            <w:tcW w:w="1701" w:type="dxa"/>
            <w:tcBorders>
              <w:top w:val="nil"/>
              <w:left w:val="nil"/>
              <w:bottom w:val="nil"/>
              <w:right w:val="nil"/>
            </w:tcBorders>
            <w:vAlign w:val="center"/>
          </w:tcPr>
          <w:p w14:paraId="56137C52" w14:textId="2352E81F" w:rsidR="00E53E22" w:rsidRPr="00B05A0C" w:rsidRDefault="00FF65F6" w:rsidP="00FF031E">
            <w:pPr>
              <w:jc w:val="right"/>
              <w:rPr>
                <w:rFonts w:ascii="Arial" w:hAnsi="Arial" w:cs="Arial"/>
                <w:b/>
                <w:bCs/>
                <w:sz w:val="20"/>
                <w:szCs w:val="20"/>
              </w:rPr>
            </w:pPr>
            <w:r>
              <w:rPr>
                <w:rFonts w:ascii="Arial" w:hAnsi="Arial" w:cs="Arial"/>
                <w:b/>
                <w:bCs/>
                <w:sz w:val="20"/>
                <w:szCs w:val="20"/>
              </w:rPr>
              <w:t>820</w:t>
            </w:r>
          </w:p>
        </w:tc>
        <w:tc>
          <w:tcPr>
            <w:tcW w:w="1702" w:type="dxa"/>
            <w:tcBorders>
              <w:top w:val="nil"/>
              <w:left w:val="nil"/>
              <w:bottom w:val="nil"/>
              <w:right w:val="single" w:sz="18" w:space="0" w:color="auto"/>
            </w:tcBorders>
            <w:vAlign w:val="center"/>
          </w:tcPr>
          <w:p w14:paraId="44952F07" w14:textId="2E0D96CC" w:rsidR="00E53E22" w:rsidRPr="00B05A0C" w:rsidRDefault="00FF65F6" w:rsidP="00FF031E">
            <w:pPr>
              <w:jc w:val="right"/>
              <w:rPr>
                <w:rFonts w:ascii="Arial" w:hAnsi="Arial" w:cs="Arial"/>
                <w:sz w:val="20"/>
                <w:szCs w:val="20"/>
              </w:rPr>
            </w:pPr>
            <w:r>
              <w:rPr>
                <w:rFonts w:ascii="Arial" w:hAnsi="Arial" w:cs="Arial"/>
                <w:sz w:val="20"/>
                <w:szCs w:val="20"/>
              </w:rPr>
              <w:t>623</w:t>
            </w:r>
          </w:p>
        </w:tc>
      </w:tr>
      <w:tr w:rsidR="00E53E22" w:rsidRPr="00B05A0C" w14:paraId="67AF31E0" w14:textId="77777777" w:rsidTr="00FF031E">
        <w:tc>
          <w:tcPr>
            <w:tcW w:w="5797" w:type="dxa"/>
            <w:tcBorders>
              <w:top w:val="nil"/>
              <w:left w:val="single" w:sz="18" w:space="0" w:color="auto"/>
              <w:bottom w:val="nil"/>
              <w:right w:val="nil"/>
            </w:tcBorders>
            <w:vAlign w:val="bottom"/>
          </w:tcPr>
          <w:p w14:paraId="0F0C8029" w14:textId="30E7CDB2" w:rsidR="00E53E22" w:rsidRPr="00B05A0C" w:rsidRDefault="00FF65F6" w:rsidP="00FF031E">
            <w:pPr>
              <w:ind w:left="162"/>
              <w:rPr>
                <w:rFonts w:ascii="Arial" w:hAnsi="Arial" w:cs="Arial"/>
                <w:sz w:val="20"/>
                <w:szCs w:val="24"/>
              </w:rPr>
            </w:pPr>
            <w:r>
              <w:rPr>
                <w:rFonts w:ascii="Arial" w:hAnsi="Arial" w:cs="Arial"/>
                <w:sz w:val="20"/>
              </w:rPr>
              <w:t>Warrant liabil</w:t>
            </w:r>
            <w:r w:rsidR="00A30F7B">
              <w:rPr>
                <w:rFonts w:ascii="Arial" w:hAnsi="Arial" w:cs="Arial"/>
                <w:sz w:val="20"/>
              </w:rPr>
              <w:t>ity</w:t>
            </w:r>
          </w:p>
        </w:tc>
        <w:tc>
          <w:tcPr>
            <w:tcW w:w="1701" w:type="dxa"/>
            <w:tcBorders>
              <w:top w:val="nil"/>
              <w:left w:val="nil"/>
              <w:bottom w:val="nil"/>
              <w:right w:val="nil"/>
            </w:tcBorders>
            <w:vAlign w:val="center"/>
          </w:tcPr>
          <w:p w14:paraId="6D9D701F" w14:textId="2BCBFB2B" w:rsidR="00E53E22" w:rsidRPr="00B05A0C" w:rsidRDefault="00FF65F6" w:rsidP="00FF031E">
            <w:pPr>
              <w:jc w:val="right"/>
              <w:rPr>
                <w:rFonts w:ascii="Arial" w:hAnsi="Arial" w:cs="Arial"/>
                <w:b/>
                <w:bCs/>
                <w:sz w:val="20"/>
                <w:szCs w:val="20"/>
              </w:rPr>
            </w:pPr>
            <w:r>
              <w:rPr>
                <w:rFonts w:ascii="Arial" w:hAnsi="Arial" w:cs="Arial"/>
                <w:b/>
                <w:bCs/>
                <w:sz w:val="20"/>
                <w:szCs w:val="20"/>
              </w:rPr>
              <w:t>3,578</w:t>
            </w:r>
          </w:p>
        </w:tc>
        <w:tc>
          <w:tcPr>
            <w:tcW w:w="1702" w:type="dxa"/>
            <w:tcBorders>
              <w:top w:val="nil"/>
              <w:left w:val="nil"/>
              <w:bottom w:val="nil"/>
              <w:right w:val="single" w:sz="18" w:space="0" w:color="auto"/>
            </w:tcBorders>
            <w:vAlign w:val="center"/>
          </w:tcPr>
          <w:p w14:paraId="4BE33D30" w14:textId="1091883A" w:rsidR="00E53E22" w:rsidRPr="00B05A0C" w:rsidRDefault="00FF65F6" w:rsidP="00FF031E">
            <w:pPr>
              <w:jc w:val="right"/>
              <w:rPr>
                <w:rFonts w:ascii="Arial" w:hAnsi="Arial" w:cs="Arial"/>
                <w:sz w:val="20"/>
                <w:szCs w:val="20"/>
              </w:rPr>
            </w:pPr>
            <w:r>
              <w:rPr>
                <w:rFonts w:ascii="Arial" w:hAnsi="Arial" w:cs="Arial"/>
                <w:sz w:val="20"/>
                <w:szCs w:val="20"/>
              </w:rPr>
              <w:t>1,706</w:t>
            </w:r>
          </w:p>
        </w:tc>
      </w:tr>
      <w:tr w:rsidR="00E53E22" w:rsidRPr="00B05A0C" w14:paraId="44ABA1DB" w14:textId="77777777" w:rsidTr="00FF031E">
        <w:tc>
          <w:tcPr>
            <w:tcW w:w="5797" w:type="dxa"/>
            <w:tcBorders>
              <w:top w:val="nil"/>
              <w:left w:val="single" w:sz="18" w:space="0" w:color="auto"/>
              <w:bottom w:val="nil"/>
              <w:right w:val="nil"/>
            </w:tcBorders>
            <w:vAlign w:val="bottom"/>
          </w:tcPr>
          <w:p w14:paraId="47195D9A" w14:textId="03394B7F" w:rsidR="00E53E22" w:rsidRPr="00B05A0C" w:rsidRDefault="00FF65F6" w:rsidP="00FF031E">
            <w:pPr>
              <w:ind w:left="162"/>
              <w:rPr>
                <w:rFonts w:ascii="Arial" w:hAnsi="Arial" w:cs="Arial"/>
                <w:sz w:val="20"/>
              </w:rPr>
            </w:pPr>
            <w:r w:rsidRPr="00B05A0C">
              <w:rPr>
                <w:rFonts w:ascii="Arial" w:hAnsi="Arial" w:cs="Arial"/>
                <w:sz w:val="20"/>
              </w:rPr>
              <w:t xml:space="preserve">Liability of </w:t>
            </w:r>
            <w:r>
              <w:rPr>
                <w:rFonts w:ascii="Arial" w:hAnsi="Arial" w:cs="Arial"/>
                <w:sz w:val="20"/>
              </w:rPr>
              <w:t>Uruguay</w:t>
            </w:r>
            <w:r w:rsidRPr="00B05A0C">
              <w:rPr>
                <w:rFonts w:ascii="Arial" w:hAnsi="Arial" w:cs="Arial"/>
                <w:sz w:val="20"/>
              </w:rPr>
              <w:t xml:space="preserve"> discontinued operation</w:t>
            </w:r>
          </w:p>
        </w:tc>
        <w:tc>
          <w:tcPr>
            <w:tcW w:w="1701" w:type="dxa"/>
            <w:tcBorders>
              <w:top w:val="nil"/>
              <w:left w:val="nil"/>
              <w:bottom w:val="nil"/>
              <w:right w:val="nil"/>
            </w:tcBorders>
            <w:vAlign w:val="center"/>
          </w:tcPr>
          <w:p w14:paraId="3328C71F" w14:textId="27EEF371" w:rsidR="00E53E22" w:rsidRPr="00B05A0C" w:rsidDel="00623200" w:rsidRDefault="00FF65F6" w:rsidP="00FF031E">
            <w:pPr>
              <w:jc w:val="right"/>
              <w:rPr>
                <w:rFonts w:ascii="Arial" w:hAnsi="Arial" w:cs="Arial"/>
                <w:b/>
                <w:bCs/>
                <w:sz w:val="20"/>
                <w:szCs w:val="20"/>
              </w:rPr>
            </w:pPr>
            <w:r>
              <w:rPr>
                <w:rFonts w:ascii="Arial" w:hAnsi="Arial" w:cs="Arial"/>
                <w:b/>
                <w:bCs/>
                <w:sz w:val="20"/>
                <w:szCs w:val="20"/>
              </w:rPr>
              <w:t>486</w:t>
            </w:r>
          </w:p>
        </w:tc>
        <w:tc>
          <w:tcPr>
            <w:tcW w:w="1702" w:type="dxa"/>
            <w:tcBorders>
              <w:top w:val="nil"/>
              <w:left w:val="nil"/>
              <w:bottom w:val="nil"/>
              <w:right w:val="single" w:sz="18" w:space="0" w:color="auto"/>
            </w:tcBorders>
            <w:vAlign w:val="center"/>
          </w:tcPr>
          <w:p w14:paraId="3E6BB280" w14:textId="64EA3194" w:rsidR="00E53E22" w:rsidRPr="00B05A0C" w:rsidRDefault="00FF65F6" w:rsidP="00FF031E">
            <w:pPr>
              <w:jc w:val="right"/>
              <w:rPr>
                <w:rFonts w:ascii="Arial" w:hAnsi="Arial" w:cs="Arial"/>
                <w:sz w:val="20"/>
                <w:szCs w:val="20"/>
              </w:rPr>
            </w:pPr>
            <w:r>
              <w:rPr>
                <w:rFonts w:ascii="Arial" w:hAnsi="Arial" w:cs="Arial"/>
                <w:sz w:val="20"/>
                <w:szCs w:val="20"/>
              </w:rPr>
              <w:t>529</w:t>
            </w:r>
          </w:p>
        </w:tc>
      </w:tr>
      <w:tr w:rsidR="00E53E22" w:rsidRPr="00B05A0C" w14:paraId="502AF0BE" w14:textId="77777777" w:rsidTr="00FF031E">
        <w:tc>
          <w:tcPr>
            <w:tcW w:w="5797" w:type="dxa"/>
            <w:tcBorders>
              <w:top w:val="single" w:sz="4" w:space="0" w:color="auto"/>
              <w:left w:val="single" w:sz="18" w:space="0" w:color="auto"/>
              <w:bottom w:val="nil"/>
              <w:right w:val="nil"/>
            </w:tcBorders>
            <w:vAlign w:val="bottom"/>
          </w:tcPr>
          <w:p w14:paraId="1D887FA2" w14:textId="77777777" w:rsidR="00E53E22" w:rsidRPr="00B05A0C" w:rsidRDefault="00E53E22" w:rsidP="00FF031E">
            <w:pPr>
              <w:rPr>
                <w:rFonts w:ascii="Arial" w:hAnsi="Arial" w:cs="Arial"/>
                <w:sz w:val="20"/>
                <w:szCs w:val="20"/>
              </w:rPr>
            </w:pPr>
            <w:r w:rsidRPr="00B05A0C">
              <w:rPr>
                <w:rFonts w:ascii="Arial" w:hAnsi="Arial" w:cs="Arial"/>
                <w:b/>
                <w:sz w:val="20"/>
                <w:szCs w:val="20"/>
              </w:rPr>
              <w:t>Total current liabilities</w:t>
            </w:r>
          </w:p>
        </w:tc>
        <w:tc>
          <w:tcPr>
            <w:tcW w:w="1701" w:type="dxa"/>
            <w:tcBorders>
              <w:top w:val="single" w:sz="4" w:space="0" w:color="auto"/>
              <w:left w:val="nil"/>
              <w:bottom w:val="nil"/>
              <w:right w:val="nil"/>
            </w:tcBorders>
            <w:vAlign w:val="center"/>
          </w:tcPr>
          <w:p w14:paraId="18953CEA" w14:textId="4B3926C0" w:rsidR="00E53E22" w:rsidRPr="00B05A0C" w:rsidRDefault="00FF65F6" w:rsidP="00FF031E">
            <w:pPr>
              <w:jc w:val="right"/>
              <w:rPr>
                <w:rFonts w:ascii="Arial" w:hAnsi="Arial" w:cs="Arial"/>
                <w:b/>
                <w:bCs/>
                <w:sz w:val="20"/>
                <w:szCs w:val="20"/>
              </w:rPr>
            </w:pPr>
            <w:r>
              <w:rPr>
                <w:rFonts w:ascii="Arial" w:hAnsi="Arial" w:cs="Arial"/>
                <w:b/>
                <w:bCs/>
                <w:sz w:val="20"/>
                <w:szCs w:val="20"/>
              </w:rPr>
              <w:t>4,884</w:t>
            </w:r>
          </w:p>
        </w:tc>
        <w:tc>
          <w:tcPr>
            <w:tcW w:w="1702" w:type="dxa"/>
            <w:tcBorders>
              <w:top w:val="single" w:sz="4" w:space="0" w:color="auto"/>
              <w:left w:val="nil"/>
              <w:bottom w:val="nil"/>
              <w:right w:val="single" w:sz="18" w:space="0" w:color="auto"/>
            </w:tcBorders>
            <w:vAlign w:val="center"/>
          </w:tcPr>
          <w:p w14:paraId="304E8AAE" w14:textId="42B3D62A" w:rsidR="00E53E22" w:rsidRPr="00B05A0C" w:rsidRDefault="00E53E22" w:rsidP="00FF031E">
            <w:pPr>
              <w:jc w:val="right"/>
              <w:rPr>
                <w:rFonts w:ascii="Arial" w:hAnsi="Arial" w:cs="Arial"/>
                <w:sz w:val="20"/>
                <w:szCs w:val="20"/>
              </w:rPr>
            </w:pPr>
            <w:r w:rsidRPr="00B05A0C">
              <w:rPr>
                <w:rFonts w:ascii="Arial" w:hAnsi="Arial" w:cs="Arial"/>
                <w:sz w:val="20"/>
                <w:szCs w:val="20"/>
              </w:rPr>
              <w:t>1</w:t>
            </w:r>
            <w:r w:rsidR="00FF65F6">
              <w:rPr>
                <w:rFonts w:ascii="Arial" w:hAnsi="Arial" w:cs="Arial"/>
                <w:sz w:val="20"/>
                <w:szCs w:val="20"/>
              </w:rPr>
              <w:t>2,858</w:t>
            </w:r>
          </w:p>
        </w:tc>
      </w:tr>
      <w:tr w:rsidR="00E53E22" w:rsidRPr="00B05A0C" w14:paraId="5662519B" w14:textId="77777777" w:rsidTr="00FF031E">
        <w:tc>
          <w:tcPr>
            <w:tcW w:w="5797" w:type="dxa"/>
            <w:tcBorders>
              <w:top w:val="nil"/>
              <w:left w:val="single" w:sz="18" w:space="0" w:color="auto"/>
              <w:bottom w:val="nil"/>
              <w:right w:val="nil"/>
            </w:tcBorders>
            <w:vAlign w:val="bottom"/>
          </w:tcPr>
          <w:p w14:paraId="1A627BB6" w14:textId="77777777" w:rsidR="00E53E22" w:rsidRPr="00B05A0C" w:rsidRDefault="00E53E22" w:rsidP="00FF031E">
            <w:pPr>
              <w:rPr>
                <w:rFonts w:ascii="Arial" w:hAnsi="Arial" w:cs="Arial"/>
                <w:sz w:val="20"/>
                <w:szCs w:val="20"/>
              </w:rPr>
            </w:pPr>
          </w:p>
        </w:tc>
        <w:tc>
          <w:tcPr>
            <w:tcW w:w="1701" w:type="dxa"/>
            <w:tcBorders>
              <w:top w:val="nil"/>
              <w:left w:val="nil"/>
              <w:bottom w:val="nil"/>
              <w:right w:val="nil"/>
            </w:tcBorders>
            <w:vAlign w:val="center"/>
          </w:tcPr>
          <w:p w14:paraId="4F30A645" w14:textId="77777777" w:rsidR="00E53E22" w:rsidRPr="00B05A0C" w:rsidRDefault="00E53E22" w:rsidP="00FF031E">
            <w:pPr>
              <w:jc w:val="right"/>
              <w:rPr>
                <w:rFonts w:ascii="Arial" w:hAnsi="Arial" w:cs="Arial"/>
                <w:b/>
                <w:bCs/>
                <w:sz w:val="20"/>
                <w:szCs w:val="20"/>
              </w:rPr>
            </w:pPr>
          </w:p>
        </w:tc>
        <w:tc>
          <w:tcPr>
            <w:tcW w:w="1702" w:type="dxa"/>
            <w:tcBorders>
              <w:top w:val="nil"/>
              <w:left w:val="nil"/>
              <w:bottom w:val="nil"/>
              <w:right w:val="single" w:sz="18" w:space="0" w:color="auto"/>
            </w:tcBorders>
            <w:vAlign w:val="center"/>
          </w:tcPr>
          <w:p w14:paraId="186784E7" w14:textId="77777777" w:rsidR="00E53E22" w:rsidRPr="00B05A0C" w:rsidRDefault="00E53E22" w:rsidP="00FF031E">
            <w:pPr>
              <w:jc w:val="right"/>
              <w:rPr>
                <w:rFonts w:ascii="Arial" w:hAnsi="Arial" w:cs="Arial"/>
                <w:sz w:val="20"/>
                <w:szCs w:val="20"/>
              </w:rPr>
            </w:pPr>
          </w:p>
        </w:tc>
      </w:tr>
      <w:tr w:rsidR="00E53E22" w:rsidRPr="00B05A0C" w14:paraId="17B6183A" w14:textId="77777777" w:rsidTr="00FF031E">
        <w:tc>
          <w:tcPr>
            <w:tcW w:w="5797" w:type="dxa"/>
            <w:tcBorders>
              <w:top w:val="single" w:sz="4" w:space="0" w:color="auto"/>
              <w:left w:val="single" w:sz="18" w:space="0" w:color="auto"/>
              <w:bottom w:val="single" w:sz="4" w:space="0" w:color="auto"/>
              <w:right w:val="nil"/>
            </w:tcBorders>
            <w:vAlign w:val="bottom"/>
          </w:tcPr>
          <w:p w14:paraId="5420B58B" w14:textId="77777777" w:rsidR="00E53E22" w:rsidRPr="00B05A0C" w:rsidRDefault="00E53E22" w:rsidP="00FF031E">
            <w:pPr>
              <w:rPr>
                <w:rFonts w:ascii="Arial" w:hAnsi="Arial" w:cs="Arial"/>
                <w:sz w:val="20"/>
                <w:szCs w:val="20"/>
              </w:rPr>
            </w:pPr>
            <w:r w:rsidRPr="00B05A0C">
              <w:rPr>
                <w:rFonts w:ascii="Arial" w:hAnsi="Arial" w:cs="Arial"/>
                <w:b/>
                <w:sz w:val="20"/>
                <w:szCs w:val="20"/>
              </w:rPr>
              <w:t>Total liabilities</w:t>
            </w:r>
          </w:p>
        </w:tc>
        <w:tc>
          <w:tcPr>
            <w:tcW w:w="1701" w:type="dxa"/>
            <w:tcBorders>
              <w:top w:val="single" w:sz="4" w:space="0" w:color="auto"/>
              <w:left w:val="nil"/>
              <w:bottom w:val="single" w:sz="4" w:space="0" w:color="auto"/>
              <w:right w:val="nil"/>
            </w:tcBorders>
            <w:vAlign w:val="center"/>
          </w:tcPr>
          <w:p w14:paraId="05E188D1" w14:textId="3D673ECF" w:rsidR="00E53E22" w:rsidRPr="00B05A0C" w:rsidRDefault="00FF65F6" w:rsidP="00FF031E">
            <w:pPr>
              <w:jc w:val="right"/>
              <w:rPr>
                <w:rFonts w:ascii="Arial" w:hAnsi="Arial" w:cs="Arial"/>
                <w:b/>
                <w:bCs/>
                <w:sz w:val="20"/>
                <w:szCs w:val="20"/>
              </w:rPr>
            </w:pPr>
            <w:r>
              <w:rPr>
                <w:rFonts w:ascii="Arial" w:hAnsi="Arial" w:cs="Arial"/>
                <w:b/>
                <w:bCs/>
                <w:sz w:val="20"/>
                <w:szCs w:val="20"/>
              </w:rPr>
              <w:t>4,884</w:t>
            </w:r>
          </w:p>
        </w:tc>
        <w:tc>
          <w:tcPr>
            <w:tcW w:w="1702" w:type="dxa"/>
            <w:tcBorders>
              <w:top w:val="single" w:sz="4" w:space="0" w:color="auto"/>
              <w:left w:val="nil"/>
              <w:bottom w:val="single" w:sz="4" w:space="0" w:color="auto"/>
              <w:right w:val="single" w:sz="18" w:space="0" w:color="auto"/>
            </w:tcBorders>
            <w:vAlign w:val="center"/>
          </w:tcPr>
          <w:p w14:paraId="384A5BF2" w14:textId="138B8DA1" w:rsidR="00E53E22" w:rsidRPr="00B05A0C" w:rsidRDefault="00FF65F6" w:rsidP="00FF031E">
            <w:pPr>
              <w:jc w:val="right"/>
              <w:rPr>
                <w:rFonts w:ascii="Arial" w:hAnsi="Arial" w:cs="Arial"/>
                <w:sz w:val="20"/>
                <w:szCs w:val="20"/>
              </w:rPr>
            </w:pPr>
            <w:r>
              <w:rPr>
                <w:rFonts w:ascii="Arial" w:hAnsi="Arial" w:cs="Arial"/>
                <w:sz w:val="20"/>
                <w:szCs w:val="20"/>
              </w:rPr>
              <w:t>2,858</w:t>
            </w:r>
          </w:p>
        </w:tc>
      </w:tr>
      <w:tr w:rsidR="00E53E22" w:rsidRPr="00B05A0C" w14:paraId="089B8352" w14:textId="77777777" w:rsidTr="00FF031E">
        <w:tc>
          <w:tcPr>
            <w:tcW w:w="5797" w:type="dxa"/>
            <w:tcBorders>
              <w:top w:val="single" w:sz="4" w:space="0" w:color="auto"/>
              <w:left w:val="single" w:sz="18" w:space="0" w:color="auto"/>
              <w:bottom w:val="nil"/>
              <w:right w:val="nil"/>
            </w:tcBorders>
            <w:vAlign w:val="bottom"/>
          </w:tcPr>
          <w:p w14:paraId="3FCC1D39" w14:textId="77777777" w:rsidR="00E53E22" w:rsidRPr="00B05A0C" w:rsidRDefault="00E53E22" w:rsidP="00FF031E">
            <w:pPr>
              <w:pStyle w:val="TableParagraph"/>
              <w:rPr>
                <w:b/>
                <w:sz w:val="20"/>
                <w:szCs w:val="20"/>
              </w:rPr>
            </w:pPr>
          </w:p>
          <w:p w14:paraId="1489D75F" w14:textId="77777777" w:rsidR="00E53E22" w:rsidRPr="00B05A0C" w:rsidRDefault="00E53E22" w:rsidP="00FF031E">
            <w:pPr>
              <w:pStyle w:val="TableParagraph"/>
              <w:rPr>
                <w:b/>
                <w:sz w:val="20"/>
                <w:szCs w:val="20"/>
              </w:rPr>
            </w:pPr>
            <w:r w:rsidRPr="00B05A0C">
              <w:rPr>
                <w:b/>
                <w:sz w:val="20"/>
                <w:szCs w:val="20"/>
              </w:rPr>
              <w:t>Equity</w:t>
            </w:r>
          </w:p>
        </w:tc>
        <w:tc>
          <w:tcPr>
            <w:tcW w:w="1701" w:type="dxa"/>
            <w:tcBorders>
              <w:top w:val="single" w:sz="4" w:space="0" w:color="auto"/>
              <w:left w:val="nil"/>
              <w:bottom w:val="nil"/>
              <w:right w:val="nil"/>
            </w:tcBorders>
            <w:vAlign w:val="center"/>
          </w:tcPr>
          <w:p w14:paraId="07180BD1" w14:textId="77777777" w:rsidR="00E53E22" w:rsidRPr="00B05A0C" w:rsidRDefault="00E53E22" w:rsidP="00FF031E">
            <w:pPr>
              <w:jc w:val="right"/>
              <w:rPr>
                <w:rFonts w:ascii="Arial" w:hAnsi="Arial" w:cs="Arial"/>
                <w:b/>
                <w:bCs/>
                <w:sz w:val="20"/>
                <w:szCs w:val="20"/>
              </w:rPr>
            </w:pPr>
          </w:p>
        </w:tc>
        <w:tc>
          <w:tcPr>
            <w:tcW w:w="1702" w:type="dxa"/>
            <w:tcBorders>
              <w:top w:val="single" w:sz="4" w:space="0" w:color="auto"/>
              <w:left w:val="nil"/>
              <w:bottom w:val="nil"/>
              <w:right w:val="single" w:sz="18" w:space="0" w:color="auto"/>
            </w:tcBorders>
            <w:vAlign w:val="center"/>
          </w:tcPr>
          <w:p w14:paraId="4089FC29" w14:textId="77777777" w:rsidR="00E53E22" w:rsidRPr="00B05A0C" w:rsidRDefault="00E53E22" w:rsidP="00FF031E">
            <w:pPr>
              <w:jc w:val="right"/>
              <w:rPr>
                <w:rFonts w:ascii="Arial" w:hAnsi="Arial" w:cs="Arial"/>
                <w:sz w:val="20"/>
                <w:szCs w:val="20"/>
              </w:rPr>
            </w:pPr>
          </w:p>
        </w:tc>
      </w:tr>
      <w:tr w:rsidR="00E53E22" w:rsidRPr="00B05A0C" w14:paraId="016EECBB" w14:textId="77777777" w:rsidTr="00FF031E">
        <w:tc>
          <w:tcPr>
            <w:tcW w:w="5797" w:type="dxa"/>
            <w:tcBorders>
              <w:top w:val="nil"/>
              <w:left w:val="single" w:sz="18" w:space="0" w:color="auto"/>
              <w:bottom w:val="nil"/>
              <w:right w:val="nil"/>
            </w:tcBorders>
            <w:vAlign w:val="bottom"/>
          </w:tcPr>
          <w:p w14:paraId="51098CC5" w14:textId="77777777" w:rsidR="00E53E22" w:rsidRPr="00B05A0C" w:rsidRDefault="00E53E22" w:rsidP="00FF031E">
            <w:pPr>
              <w:ind w:left="162"/>
              <w:rPr>
                <w:rFonts w:ascii="Arial" w:hAnsi="Arial" w:cs="Arial"/>
                <w:sz w:val="20"/>
                <w:szCs w:val="24"/>
              </w:rPr>
            </w:pPr>
            <w:r w:rsidRPr="00B05A0C">
              <w:rPr>
                <w:rFonts w:ascii="Arial" w:hAnsi="Arial" w:cs="Arial"/>
                <w:sz w:val="20"/>
              </w:rPr>
              <w:t>Share capital</w:t>
            </w:r>
          </w:p>
        </w:tc>
        <w:tc>
          <w:tcPr>
            <w:tcW w:w="1701" w:type="dxa"/>
            <w:tcBorders>
              <w:top w:val="nil"/>
              <w:left w:val="nil"/>
              <w:bottom w:val="nil"/>
              <w:right w:val="nil"/>
            </w:tcBorders>
            <w:vAlign w:val="center"/>
          </w:tcPr>
          <w:p w14:paraId="766A534E" w14:textId="24FF7189" w:rsidR="00E53E22" w:rsidRPr="00B05A0C" w:rsidRDefault="002C1124" w:rsidP="00FF031E">
            <w:pPr>
              <w:jc w:val="right"/>
              <w:rPr>
                <w:rFonts w:ascii="Arial" w:hAnsi="Arial" w:cs="Arial"/>
                <w:b/>
                <w:bCs/>
                <w:sz w:val="20"/>
                <w:szCs w:val="20"/>
              </w:rPr>
            </w:pPr>
            <w:r>
              <w:rPr>
                <w:rFonts w:ascii="Arial" w:hAnsi="Arial" w:cs="Arial"/>
                <w:b/>
                <w:bCs/>
                <w:sz w:val="20"/>
                <w:szCs w:val="20"/>
              </w:rPr>
              <w:t>90,721</w:t>
            </w:r>
          </w:p>
        </w:tc>
        <w:tc>
          <w:tcPr>
            <w:tcW w:w="1702" w:type="dxa"/>
            <w:tcBorders>
              <w:top w:val="nil"/>
              <w:left w:val="nil"/>
              <w:bottom w:val="nil"/>
              <w:right w:val="single" w:sz="18" w:space="0" w:color="auto"/>
            </w:tcBorders>
            <w:vAlign w:val="center"/>
          </w:tcPr>
          <w:p w14:paraId="680ACD32" w14:textId="58285056" w:rsidR="00E53E22" w:rsidRPr="00B05A0C" w:rsidRDefault="002C1124" w:rsidP="00FF031E">
            <w:pPr>
              <w:jc w:val="right"/>
              <w:rPr>
                <w:rFonts w:ascii="Arial" w:hAnsi="Arial" w:cs="Arial"/>
                <w:sz w:val="20"/>
                <w:szCs w:val="20"/>
              </w:rPr>
            </w:pPr>
            <w:r>
              <w:rPr>
                <w:rFonts w:ascii="Arial" w:hAnsi="Arial" w:cs="Arial"/>
                <w:sz w:val="20"/>
                <w:szCs w:val="20"/>
              </w:rPr>
              <w:t>74,675</w:t>
            </w:r>
          </w:p>
        </w:tc>
      </w:tr>
      <w:tr w:rsidR="00E53E22" w:rsidRPr="00B05A0C" w14:paraId="30B4DA31" w14:textId="77777777" w:rsidTr="00FF031E">
        <w:tc>
          <w:tcPr>
            <w:tcW w:w="5797" w:type="dxa"/>
            <w:tcBorders>
              <w:top w:val="nil"/>
              <w:left w:val="single" w:sz="18" w:space="0" w:color="auto"/>
              <w:bottom w:val="nil"/>
              <w:right w:val="nil"/>
            </w:tcBorders>
            <w:vAlign w:val="bottom"/>
          </w:tcPr>
          <w:p w14:paraId="177C7530" w14:textId="77777777" w:rsidR="00E53E22" w:rsidRPr="00B05A0C" w:rsidRDefault="00E53E22" w:rsidP="00FF031E">
            <w:pPr>
              <w:ind w:left="162"/>
              <w:rPr>
                <w:rFonts w:ascii="Arial" w:hAnsi="Arial" w:cs="Arial"/>
                <w:sz w:val="20"/>
                <w:szCs w:val="24"/>
              </w:rPr>
            </w:pPr>
            <w:r w:rsidRPr="00B05A0C">
              <w:rPr>
                <w:rFonts w:ascii="Arial" w:hAnsi="Arial" w:cs="Arial"/>
                <w:sz w:val="20"/>
              </w:rPr>
              <w:t>Share-based payments reserve</w:t>
            </w:r>
          </w:p>
        </w:tc>
        <w:tc>
          <w:tcPr>
            <w:tcW w:w="1701" w:type="dxa"/>
            <w:tcBorders>
              <w:top w:val="nil"/>
              <w:left w:val="nil"/>
              <w:bottom w:val="nil"/>
              <w:right w:val="nil"/>
            </w:tcBorders>
            <w:vAlign w:val="center"/>
          </w:tcPr>
          <w:p w14:paraId="1CA86F35" w14:textId="4ABE4C82"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1</w:t>
            </w:r>
            <w:r w:rsidR="002C1124">
              <w:rPr>
                <w:rFonts w:ascii="Arial" w:hAnsi="Arial" w:cs="Arial"/>
                <w:b/>
                <w:bCs/>
                <w:sz w:val="20"/>
                <w:szCs w:val="20"/>
              </w:rPr>
              <w:t>1,192</w:t>
            </w:r>
          </w:p>
        </w:tc>
        <w:tc>
          <w:tcPr>
            <w:tcW w:w="1702" w:type="dxa"/>
            <w:tcBorders>
              <w:top w:val="nil"/>
              <w:left w:val="nil"/>
              <w:bottom w:val="nil"/>
              <w:right w:val="single" w:sz="18" w:space="0" w:color="auto"/>
            </w:tcBorders>
            <w:vAlign w:val="center"/>
          </w:tcPr>
          <w:p w14:paraId="04BF0F26" w14:textId="28E34727" w:rsidR="00E53E22" w:rsidRPr="00B05A0C" w:rsidRDefault="00E53E22" w:rsidP="00FF031E">
            <w:pPr>
              <w:jc w:val="right"/>
              <w:rPr>
                <w:rFonts w:ascii="Arial" w:hAnsi="Arial" w:cs="Arial"/>
                <w:sz w:val="20"/>
                <w:szCs w:val="20"/>
              </w:rPr>
            </w:pPr>
            <w:r w:rsidRPr="00B05A0C">
              <w:rPr>
                <w:rFonts w:ascii="Arial" w:hAnsi="Arial" w:cs="Arial"/>
                <w:sz w:val="20"/>
                <w:szCs w:val="20"/>
              </w:rPr>
              <w:t>10,</w:t>
            </w:r>
            <w:r w:rsidR="002C1124">
              <w:rPr>
                <w:rFonts w:ascii="Arial" w:hAnsi="Arial" w:cs="Arial"/>
                <w:sz w:val="20"/>
                <w:szCs w:val="20"/>
              </w:rPr>
              <w:t>931</w:t>
            </w:r>
          </w:p>
        </w:tc>
      </w:tr>
      <w:tr w:rsidR="00E53E22" w:rsidRPr="00B05A0C" w14:paraId="3D034D5A" w14:textId="77777777" w:rsidTr="00FF031E">
        <w:tc>
          <w:tcPr>
            <w:tcW w:w="5797" w:type="dxa"/>
            <w:tcBorders>
              <w:top w:val="nil"/>
              <w:left w:val="single" w:sz="18" w:space="0" w:color="auto"/>
              <w:bottom w:val="nil"/>
              <w:right w:val="nil"/>
            </w:tcBorders>
            <w:vAlign w:val="bottom"/>
          </w:tcPr>
          <w:p w14:paraId="25236088" w14:textId="77777777" w:rsidR="00E53E22" w:rsidRPr="00B05A0C" w:rsidRDefault="00E53E22" w:rsidP="00FF031E">
            <w:pPr>
              <w:ind w:left="162"/>
              <w:rPr>
                <w:rFonts w:ascii="Arial" w:hAnsi="Arial" w:cs="Arial"/>
                <w:sz w:val="20"/>
              </w:rPr>
            </w:pPr>
            <w:r w:rsidRPr="00B05A0C">
              <w:rPr>
                <w:rFonts w:ascii="Arial" w:hAnsi="Arial" w:cs="Arial"/>
                <w:sz w:val="20"/>
              </w:rPr>
              <w:t>Warrants</w:t>
            </w:r>
          </w:p>
        </w:tc>
        <w:tc>
          <w:tcPr>
            <w:tcW w:w="1701" w:type="dxa"/>
            <w:tcBorders>
              <w:top w:val="nil"/>
              <w:left w:val="nil"/>
              <w:bottom w:val="nil"/>
              <w:right w:val="nil"/>
            </w:tcBorders>
            <w:vAlign w:val="center"/>
          </w:tcPr>
          <w:p w14:paraId="593B119E" w14:textId="56222ABF" w:rsidR="00E53E22" w:rsidRPr="00B05A0C" w:rsidRDefault="002C1124" w:rsidP="00FF031E">
            <w:pPr>
              <w:jc w:val="right"/>
              <w:rPr>
                <w:rFonts w:ascii="Arial" w:hAnsi="Arial" w:cs="Arial"/>
                <w:b/>
                <w:bCs/>
                <w:sz w:val="20"/>
                <w:szCs w:val="20"/>
              </w:rPr>
            </w:pPr>
            <w:r>
              <w:rPr>
                <w:rFonts w:ascii="Arial" w:hAnsi="Arial" w:cs="Arial"/>
                <w:b/>
                <w:bCs/>
                <w:sz w:val="20"/>
                <w:szCs w:val="20"/>
              </w:rPr>
              <w:t>36</w:t>
            </w:r>
          </w:p>
        </w:tc>
        <w:tc>
          <w:tcPr>
            <w:tcW w:w="1702" w:type="dxa"/>
            <w:tcBorders>
              <w:top w:val="nil"/>
              <w:left w:val="nil"/>
              <w:bottom w:val="nil"/>
              <w:right w:val="single" w:sz="18" w:space="0" w:color="auto"/>
            </w:tcBorders>
            <w:vAlign w:val="center"/>
          </w:tcPr>
          <w:p w14:paraId="4A1FB22D" w14:textId="79AACD93" w:rsidR="00E53E22" w:rsidRPr="00B05A0C" w:rsidRDefault="002C1124" w:rsidP="00FF031E">
            <w:pPr>
              <w:jc w:val="right"/>
              <w:rPr>
                <w:rFonts w:ascii="Arial" w:hAnsi="Arial" w:cs="Arial"/>
                <w:sz w:val="20"/>
                <w:szCs w:val="20"/>
              </w:rPr>
            </w:pPr>
            <w:r>
              <w:rPr>
                <w:rFonts w:ascii="Arial" w:hAnsi="Arial" w:cs="Arial"/>
                <w:sz w:val="20"/>
                <w:szCs w:val="20"/>
              </w:rPr>
              <w:t>436</w:t>
            </w:r>
          </w:p>
        </w:tc>
      </w:tr>
      <w:tr w:rsidR="00E53E22" w:rsidRPr="00B05A0C" w14:paraId="793C01DD" w14:textId="77777777" w:rsidTr="00FF031E">
        <w:tc>
          <w:tcPr>
            <w:tcW w:w="5797" w:type="dxa"/>
            <w:tcBorders>
              <w:top w:val="nil"/>
              <w:left w:val="single" w:sz="18" w:space="0" w:color="auto"/>
              <w:bottom w:val="nil"/>
              <w:right w:val="nil"/>
            </w:tcBorders>
            <w:vAlign w:val="bottom"/>
          </w:tcPr>
          <w:p w14:paraId="42BB49D7" w14:textId="77777777" w:rsidR="00E53E22" w:rsidRPr="00B05A0C" w:rsidRDefault="00E53E22" w:rsidP="00FF031E">
            <w:pPr>
              <w:ind w:left="162"/>
              <w:rPr>
                <w:rFonts w:ascii="Arial" w:hAnsi="Arial" w:cs="Arial"/>
                <w:sz w:val="20"/>
                <w:szCs w:val="24"/>
              </w:rPr>
            </w:pPr>
            <w:r w:rsidRPr="00B05A0C">
              <w:rPr>
                <w:rFonts w:ascii="Arial" w:hAnsi="Arial" w:cs="Arial"/>
                <w:sz w:val="20"/>
              </w:rPr>
              <w:t>Currency translation reserve</w:t>
            </w:r>
          </w:p>
        </w:tc>
        <w:tc>
          <w:tcPr>
            <w:tcW w:w="1701" w:type="dxa"/>
            <w:tcBorders>
              <w:top w:val="nil"/>
              <w:left w:val="nil"/>
              <w:bottom w:val="nil"/>
              <w:right w:val="nil"/>
            </w:tcBorders>
            <w:vAlign w:val="center"/>
          </w:tcPr>
          <w:p w14:paraId="260C9646" w14:textId="725A8037"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w:t>
            </w:r>
            <w:r w:rsidR="002C1124">
              <w:rPr>
                <w:rFonts w:ascii="Arial" w:hAnsi="Arial" w:cs="Arial"/>
                <w:b/>
                <w:bCs/>
                <w:sz w:val="20"/>
                <w:szCs w:val="20"/>
              </w:rPr>
              <w:t>1,445</w:t>
            </w:r>
            <w:r w:rsidRPr="00B05A0C">
              <w:rPr>
                <w:rFonts w:ascii="Arial" w:hAnsi="Arial" w:cs="Arial"/>
                <w:b/>
                <w:bCs/>
                <w:sz w:val="20"/>
                <w:szCs w:val="20"/>
              </w:rPr>
              <w:t>)</w:t>
            </w:r>
          </w:p>
        </w:tc>
        <w:tc>
          <w:tcPr>
            <w:tcW w:w="1702" w:type="dxa"/>
            <w:tcBorders>
              <w:top w:val="nil"/>
              <w:left w:val="nil"/>
              <w:bottom w:val="nil"/>
              <w:right w:val="single" w:sz="18" w:space="0" w:color="auto"/>
            </w:tcBorders>
            <w:vAlign w:val="center"/>
          </w:tcPr>
          <w:p w14:paraId="4BEDB4C0" w14:textId="331E26CD" w:rsidR="00E53E22" w:rsidRPr="00B05A0C" w:rsidRDefault="00E53E22" w:rsidP="00FF031E">
            <w:pPr>
              <w:jc w:val="right"/>
              <w:rPr>
                <w:rFonts w:ascii="Arial" w:hAnsi="Arial" w:cs="Arial"/>
                <w:sz w:val="20"/>
                <w:szCs w:val="20"/>
              </w:rPr>
            </w:pPr>
            <w:r w:rsidRPr="00B05A0C">
              <w:rPr>
                <w:rFonts w:ascii="Arial" w:hAnsi="Arial" w:cs="Arial"/>
                <w:sz w:val="20"/>
                <w:szCs w:val="20"/>
              </w:rPr>
              <w:t>(</w:t>
            </w:r>
            <w:r w:rsidR="002C1124">
              <w:rPr>
                <w:rFonts w:ascii="Arial" w:hAnsi="Arial" w:cs="Arial"/>
                <w:sz w:val="20"/>
                <w:szCs w:val="20"/>
              </w:rPr>
              <w:t>2,159</w:t>
            </w:r>
            <w:r w:rsidRPr="00B05A0C">
              <w:rPr>
                <w:rFonts w:ascii="Arial" w:hAnsi="Arial" w:cs="Arial"/>
                <w:sz w:val="20"/>
                <w:szCs w:val="20"/>
              </w:rPr>
              <w:t>)</w:t>
            </w:r>
          </w:p>
        </w:tc>
      </w:tr>
      <w:tr w:rsidR="00E53E22" w:rsidRPr="00B05A0C" w14:paraId="7BF80E60" w14:textId="77777777" w:rsidTr="00FF031E">
        <w:tc>
          <w:tcPr>
            <w:tcW w:w="5797" w:type="dxa"/>
            <w:tcBorders>
              <w:top w:val="nil"/>
              <w:left w:val="single" w:sz="18" w:space="0" w:color="auto"/>
              <w:bottom w:val="single" w:sz="4" w:space="0" w:color="auto"/>
              <w:right w:val="nil"/>
            </w:tcBorders>
            <w:vAlign w:val="bottom"/>
          </w:tcPr>
          <w:p w14:paraId="0E206C81" w14:textId="77777777" w:rsidR="00E53E22" w:rsidRPr="00B05A0C" w:rsidRDefault="00E53E22" w:rsidP="00FF031E">
            <w:pPr>
              <w:ind w:left="162"/>
              <w:rPr>
                <w:rFonts w:ascii="Arial" w:hAnsi="Arial" w:cs="Arial"/>
                <w:sz w:val="20"/>
                <w:szCs w:val="20"/>
              </w:rPr>
            </w:pPr>
            <w:r w:rsidRPr="00B05A0C">
              <w:rPr>
                <w:rFonts w:ascii="Arial" w:hAnsi="Arial" w:cs="Arial"/>
                <w:sz w:val="20"/>
              </w:rPr>
              <w:t>Accumulated deficit</w:t>
            </w:r>
          </w:p>
        </w:tc>
        <w:tc>
          <w:tcPr>
            <w:tcW w:w="1701" w:type="dxa"/>
            <w:tcBorders>
              <w:top w:val="nil"/>
              <w:left w:val="nil"/>
              <w:bottom w:val="single" w:sz="4" w:space="0" w:color="auto"/>
              <w:right w:val="nil"/>
            </w:tcBorders>
            <w:vAlign w:val="center"/>
          </w:tcPr>
          <w:p w14:paraId="0CEF5607" w14:textId="016AF9B9"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(8</w:t>
            </w:r>
            <w:r w:rsidR="002C1124">
              <w:rPr>
                <w:rFonts w:ascii="Arial" w:hAnsi="Arial" w:cs="Arial"/>
                <w:b/>
                <w:bCs/>
                <w:sz w:val="20"/>
                <w:szCs w:val="20"/>
              </w:rPr>
              <w:t>1,801</w:t>
            </w:r>
            <w:r w:rsidRPr="00B05A0C">
              <w:rPr>
                <w:rFonts w:ascii="Arial" w:hAnsi="Arial" w:cs="Arial"/>
                <w:b/>
                <w:bCs/>
                <w:sz w:val="20"/>
                <w:szCs w:val="20"/>
              </w:rPr>
              <w:t>)</w:t>
            </w:r>
          </w:p>
        </w:tc>
        <w:tc>
          <w:tcPr>
            <w:tcW w:w="1702" w:type="dxa"/>
            <w:tcBorders>
              <w:top w:val="nil"/>
              <w:left w:val="nil"/>
              <w:bottom w:val="single" w:sz="4" w:space="0" w:color="auto"/>
              <w:right w:val="single" w:sz="18" w:space="0" w:color="auto"/>
            </w:tcBorders>
            <w:vAlign w:val="center"/>
          </w:tcPr>
          <w:p w14:paraId="54C3F0C1" w14:textId="2D5F5A96" w:rsidR="00E53E22" w:rsidRPr="00B05A0C" w:rsidRDefault="00E53E22" w:rsidP="00FF031E">
            <w:pPr>
              <w:jc w:val="right"/>
              <w:rPr>
                <w:rFonts w:ascii="Arial" w:hAnsi="Arial" w:cs="Arial"/>
                <w:sz w:val="20"/>
                <w:szCs w:val="20"/>
              </w:rPr>
            </w:pPr>
            <w:r w:rsidRPr="00B05A0C">
              <w:rPr>
                <w:rFonts w:ascii="Arial" w:hAnsi="Arial" w:cs="Arial"/>
                <w:sz w:val="20"/>
                <w:szCs w:val="20"/>
              </w:rPr>
              <w:t>(</w:t>
            </w:r>
            <w:r w:rsidR="002C1124">
              <w:rPr>
                <w:rFonts w:ascii="Arial" w:hAnsi="Arial" w:cs="Arial"/>
                <w:sz w:val="20"/>
                <w:szCs w:val="20"/>
              </w:rPr>
              <w:t>77,258</w:t>
            </w:r>
            <w:r w:rsidRPr="00B05A0C">
              <w:rPr>
                <w:rFonts w:ascii="Arial" w:hAnsi="Arial" w:cs="Arial"/>
                <w:sz w:val="20"/>
                <w:szCs w:val="20"/>
              </w:rPr>
              <w:t>)</w:t>
            </w:r>
          </w:p>
        </w:tc>
      </w:tr>
      <w:tr w:rsidR="00E53E22" w:rsidRPr="00B05A0C" w14:paraId="230E6924" w14:textId="77777777" w:rsidTr="00FF031E">
        <w:tc>
          <w:tcPr>
            <w:tcW w:w="5797" w:type="dxa"/>
            <w:tcBorders>
              <w:top w:val="single" w:sz="4" w:space="0" w:color="auto"/>
              <w:left w:val="single" w:sz="18" w:space="0" w:color="auto"/>
              <w:bottom w:val="nil"/>
              <w:right w:val="nil"/>
            </w:tcBorders>
            <w:vAlign w:val="bottom"/>
          </w:tcPr>
          <w:p w14:paraId="764C7926" w14:textId="77777777" w:rsidR="00E53E22" w:rsidRPr="00B05A0C" w:rsidRDefault="00E53E22" w:rsidP="00FF031E">
            <w:pPr>
              <w:rPr>
                <w:rFonts w:ascii="Arial" w:hAnsi="Arial" w:cs="Arial"/>
                <w:bCs/>
                <w:sz w:val="20"/>
                <w:szCs w:val="20"/>
              </w:rPr>
            </w:pPr>
            <w:r w:rsidRPr="00B05A0C">
              <w:rPr>
                <w:rFonts w:ascii="Arial" w:hAnsi="Arial" w:cs="Arial"/>
                <w:bCs/>
                <w:sz w:val="20"/>
                <w:szCs w:val="20"/>
              </w:rPr>
              <w:t>Total equity attributable to owners of the parent</w:t>
            </w:r>
          </w:p>
        </w:tc>
        <w:tc>
          <w:tcPr>
            <w:tcW w:w="1701" w:type="dxa"/>
            <w:tcBorders>
              <w:top w:val="single" w:sz="4" w:space="0" w:color="auto"/>
              <w:left w:val="nil"/>
              <w:bottom w:val="nil"/>
              <w:right w:val="nil"/>
            </w:tcBorders>
            <w:vAlign w:val="center"/>
          </w:tcPr>
          <w:p w14:paraId="6ED0A5CE" w14:textId="533C0B5A" w:rsidR="00E53E22" w:rsidRPr="00B05A0C" w:rsidRDefault="002C1124" w:rsidP="00FF031E">
            <w:pPr>
              <w:jc w:val="right"/>
              <w:rPr>
                <w:rFonts w:ascii="Arial" w:hAnsi="Arial" w:cs="Arial"/>
                <w:b/>
                <w:bCs/>
                <w:sz w:val="20"/>
                <w:szCs w:val="20"/>
              </w:rPr>
            </w:pPr>
            <w:r>
              <w:rPr>
                <w:rFonts w:ascii="Arial" w:hAnsi="Arial" w:cs="Arial"/>
                <w:b/>
                <w:bCs/>
                <w:sz w:val="20"/>
                <w:szCs w:val="20"/>
              </w:rPr>
              <w:t>18,703</w:t>
            </w:r>
          </w:p>
        </w:tc>
        <w:tc>
          <w:tcPr>
            <w:tcW w:w="1702" w:type="dxa"/>
            <w:tcBorders>
              <w:top w:val="single" w:sz="4" w:space="0" w:color="auto"/>
              <w:left w:val="nil"/>
              <w:bottom w:val="nil"/>
              <w:right w:val="single" w:sz="18" w:space="0" w:color="auto"/>
            </w:tcBorders>
            <w:vAlign w:val="center"/>
          </w:tcPr>
          <w:p w14:paraId="5575CB8B" w14:textId="0D59FB7E" w:rsidR="00E53E22" w:rsidRPr="00B05A0C" w:rsidRDefault="002C1124" w:rsidP="00FF031E">
            <w:pPr>
              <w:jc w:val="right"/>
              <w:rPr>
                <w:rFonts w:ascii="Arial" w:hAnsi="Arial" w:cs="Arial"/>
                <w:sz w:val="20"/>
                <w:szCs w:val="20"/>
              </w:rPr>
            </w:pPr>
            <w:r>
              <w:rPr>
                <w:rFonts w:ascii="Arial" w:hAnsi="Arial" w:cs="Arial"/>
                <w:sz w:val="20"/>
                <w:szCs w:val="20"/>
              </w:rPr>
              <w:t>6,625</w:t>
            </w:r>
          </w:p>
        </w:tc>
      </w:tr>
      <w:tr w:rsidR="00E53E22" w:rsidRPr="00B05A0C" w14:paraId="7FACEF1D" w14:textId="77777777" w:rsidTr="00FF031E">
        <w:tc>
          <w:tcPr>
            <w:tcW w:w="5797" w:type="dxa"/>
            <w:tcBorders>
              <w:top w:val="nil"/>
              <w:left w:val="single" w:sz="18" w:space="0" w:color="auto"/>
              <w:bottom w:val="single" w:sz="12" w:space="0" w:color="auto"/>
              <w:right w:val="nil"/>
            </w:tcBorders>
          </w:tcPr>
          <w:p w14:paraId="7AE45527" w14:textId="77777777" w:rsidR="00E53E22" w:rsidRPr="00B05A0C" w:rsidRDefault="00E53E22" w:rsidP="00FF031E">
            <w:pPr>
              <w:rPr>
                <w:rFonts w:ascii="Arial" w:hAnsi="Arial" w:cs="Arial"/>
                <w:bCs/>
                <w:sz w:val="20"/>
                <w:szCs w:val="20"/>
              </w:rPr>
            </w:pPr>
            <w:r w:rsidRPr="00B05A0C">
              <w:rPr>
                <w:rFonts w:ascii="Arial" w:hAnsi="Arial" w:cs="Arial"/>
                <w:bCs/>
                <w:sz w:val="20"/>
                <w:szCs w:val="20"/>
              </w:rPr>
              <w:t>Non-controlling interest</w:t>
            </w:r>
          </w:p>
        </w:tc>
        <w:tc>
          <w:tcPr>
            <w:tcW w:w="1701" w:type="dxa"/>
            <w:tcBorders>
              <w:top w:val="nil"/>
              <w:left w:val="nil"/>
              <w:bottom w:val="single" w:sz="12" w:space="0" w:color="auto"/>
              <w:right w:val="nil"/>
            </w:tcBorders>
            <w:vAlign w:val="center"/>
          </w:tcPr>
          <w:p w14:paraId="24A3B986" w14:textId="39818967" w:rsidR="00E53E22" w:rsidRPr="00B05A0C" w:rsidRDefault="002C1124" w:rsidP="00FF031E">
            <w:pPr>
              <w:jc w:val="right"/>
              <w:rPr>
                <w:rFonts w:ascii="Arial" w:hAnsi="Arial" w:cs="Arial"/>
                <w:b/>
                <w:bCs/>
                <w:sz w:val="20"/>
                <w:szCs w:val="20"/>
              </w:rPr>
            </w:pPr>
            <w:r>
              <w:rPr>
                <w:rFonts w:ascii="Arial" w:hAnsi="Arial" w:cs="Arial"/>
                <w:b/>
                <w:bCs/>
                <w:sz w:val="20"/>
                <w:szCs w:val="20"/>
              </w:rPr>
              <w:t>6</w:t>
            </w:r>
          </w:p>
        </w:tc>
        <w:tc>
          <w:tcPr>
            <w:tcW w:w="1702" w:type="dxa"/>
            <w:tcBorders>
              <w:top w:val="nil"/>
              <w:left w:val="nil"/>
              <w:bottom w:val="single" w:sz="12" w:space="0" w:color="auto"/>
              <w:right w:val="single" w:sz="18" w:space="0" w:color="auto"/>
            </w:tcBorders>
            <w:vAlign w:val="center"/>
          </w:tcPr>
          <w:p w14:paraId="38110300" w14:textId="560A03C2" w:rsidR="00E53E22" w:rsidRPr="00B05A0C" w:rsidRDefault="00E53E22" w:rsidP="00FF031E">
            <w:pPr>
              <w:jc w:val="right"/>
              <w:rPr>
                <w:rFonts w:ascii="Arial" w:hAnsi="Arial" w:cs="Arial"/>
                <w:sz w:val="20"/>
                <w:szCs w:val="20"/>
              </w:rPr>
            </w:pPr>
            <w:r w:rsidRPr="00B05A0C">
              <w:rPr>
                <w:rFonts w:ascii="Arial" w:hAnsi="Arial" w:cs="Arial"/>
                <w:sz w:val="20"/>
                <w:szCs w:val="20"/>
              </w:rPr>
              <w:t>6</w:t>
            </w:r>
          </w:p>
        </w:tc>
      </w:tr>
      <w:tr w:rsidR="00E53E22" w:rsidRPr="00B05A0C" w14:paraId="759E7FA0" w14:textId="77777777" w:rsidTr="00FF031E">
        <w:tc>
          <w:tcPr>
            <w:tcW w:w="5797" w:type="dxa"/>
            <w:tcBorders>
              <w:top w:val="nil"/>
              <w:left w:val="single" w:sz="18" w:space="0" w:color="auto"/>
              <w:bottom w:val="single" w:sz="12" w:space="0" w:color="auto"/>
              <w:right w:val="nil"/>
            </w:tcBorders>
          </w:tcPr>
          <w:p w14:paraId="285E1CC1" w14:textId="77777777" w:rsidR="00E53E22" w:rsidRPr="00B05A0C" w:rsidRDefault="00E53E22" w:rsidP="00FF031E">
            <w:pPr>
              <w:rPr>
                <w:rFonts w:ascii="Arial" w:hAnsi="Arial" w:cs="Arial"/>
                <w:b/>
                <w:sz w:val="20"/>
                <w:szCs w:val="20"/>
              </w:rPr>
            </w:pPr>
            <w:r w:rsidRPr="00B05A0C">
              <w:rPr>
                <w:rFonts w:ascii="Arial" w:hAnsi="Arial" w:cs="Arial"/>
                <w:b/>
                <w:sz w:val="20"/>
                <w:szCs w:val="20"/>
              </w:rPr>
              <w:t>Total equity</w:t>
            </w:r>
          </w:p>
        </w:tc>
        <w:tc>
          <w:tcPr>
            <w:tcW w:w="1701" w:type="dxa"/>
            <w:tcBorders>
              <w:top w:val="nil"/>
              <w:left w:val="nil"/>
              <w:bottom w:val="single" w:sz="12" w:space="0" w:color="auto"/>
              <w:right w:val="nil"/>
            </w:tcBorders>
            <w:vAlign w:val="center"/>
          </w:tcPr>
          <w:p w14:paraId="3D81DD46" w14:textId="069AE172" w:rsidR="00E53E22" w:rsidRPr="00B05A0C" w:rsidRDefault="002C1124" w:rsidP="00FF031E">
            <w:pPr>
              <w:jc w:val="right"/>
              <w:rPr>
                <w:rFonts w:ascii="Arial" w:hAnsi="Arial" w:cs="Arial"/>
                <w:b/>
                <w:bCs/>
                <w:sz w:val="20"/>
                <w:szCs w:val="20"/>
              </w:rPr>
            </w:pPr>
            <w:r>
              <w:rPr>
                <w:rFonts w:ascii="Arial" w:hAnsi="Arial" w:cs="Arial"/>
                <w:b/>
                <w:bCs/>
                <w:sz w:val="20"/>
                <w:szCs w:val="20"/>
              </w:rPr>
              <w:t>18,709</w:t>
            </w:r>
          </w:p>
        </w:tc>
        <w:tc>
          <w:tcPr>
            <w:tcW w:w="1702" w:type="dxa"/>
            <w:tcBorders>
              <w:top w:val="nil"/>
              <w:left w:val="nil"/>
              <w:bottom w:val="single" w:sz="12" w:space="0" w:color="auto"/>
              <w:right w:val="single" w:sz="18" w:space="0" w:color="auto"/>
            </w:tcBorders>
            <w:vAlign w:val="center"/>
          </w:tcPr>
          <w:p w14:paraId="3A129302" w14:textId="60AA9D94" w:rsidR="00E53E22" w:rsidRPr="00B05A0C" w:rsidRDefault="002C1124" w:rsidP="00FF031E">
            <w:pPr>
              <w:jc w:val="right"/>
              <w:rPr>
                <w:rFonts w:ascii="Arial" w:hAnsi="Arial" w:cs="Arial"/>
                <w:sz w:val="20"/>
                <w:szCs w:val="20"/>
              </w:rPr>
            </w:pPr>
            <w:r>
              <w:rPr>
                <w:rFonts w:ascii="Arial" w:hAnsi="Arial" w:cs="Arial"/>
                <w:sz w:val="20"/>
                <w:szCs w:val="20"/>
              </w:rPr>
              <w:t>6,631</w:t>
            </w:r>
          </w:p>
        </w:tc>
      </w:tr>
      <w:tr w:rsidR="00E53E22" w:rsidRPr="00B05A0C" w14:paraId="337EBE72" w14:textId="77777777" w:rsidTr="00FF031E">
        <w:tc>
          <w:tcPr>
            <w:tcW w:w="5797" w:type="dxa"/>
            <w:tcBorders>
              <w:top w:val="single" w:sz="4" w:space="0" w:color="auto"/>
              <w:left w:val="single" w:sz="18" w:space="0" w:color="auto"/>
              <w:bottom w:val="single" w:sz="18" w:space="0" w:color="auto"/>
              <w:right w:val="nil"/>
            </w:tcBorders>
          </w:tcPr>
          <w:p w14:paraId="5C931D67" w14:textId="77777777" w:rsidR="00E53E22" w:rsidRPr="00B05A0C" w:rsidRDefault="00E53E22" w:rsidP="00FF031E">
            <w:r w:rsidRPr="00B05A0C">
              <w:rPr>
                <w:rFonts w:ascii="Arial" w:hAnsi="Arial" w:cs="Arial"/>
                <w:b/>
                <w:sz w:val="20"/>
                <w:szCs w:val="20"/>
              </w:rPr>
              <w:t>Total liabilities and equity</w:t>
            </w:r>
          </w:p>
        </w:tc>
        <w:tc>
          <w:tcPr>
            <w:tcW w:w="1701" w:type="dxa"/>
            <w:tcBorders>
              <w:top w:val="single" w:sz="4" w:space="0" w:color="auto"/>
              <w:left w:val="nil"/>
              <w:bottom w:val="single" w:sz="18" w:space="0" w:color="auto"/>
              <w:right w:val="nil"/>
            </w:tcBorders>
            <w:vAlign w:val="center"/>
          </w:tcPr>
          <w:p w14:paraId="12DBD110" w14:textId="3AD210B1" w:rsidR="00E53E22" w:rsidRPr="00B05A0C" w:rsidRDefault="002C1124" w:rsidP="00FF031E">
            <w:pPr>
              <w:jc w:val="right"/>
              <w:rPr>
                <w:rFonts w:ascii="Arial" w:hAnsi="Arial" w:cs="Arial"/>
                <w:b/>
                <w:bCs/>
                <w:sz w:val="20"/>
                <w:szCs w:val="20"/>
              </w:rPr>
            </w:pPr>
            <w:r>
              <w:rPr>
                <w:rFonts w:ascii="Arial" w:hAnsi="Arial" w:cs="Arial"/>
                <w:b/>
                <w:bCs/>
                <w:sz w:val="20"/>
                <w:szCs w:val="20"/>
              </w:rPr>
              <w:t>23,593</w:t>
            </w:r>
          </w:p>
        </w:tc>
        <w:tc>
          <w:tcPr>
            <w:tcW w:w="1702" w:type="dxa"/>
            <w:tcBorders>
              <w:top w:val="single" w:sz="4" w:space="0" w:color="auto"/>
              <w:left w:val="nil"/>
              <w:bottom w:val="single" w:sz="18" w:space="0" w:color="auto"/>
              <w:right w:val="single" w:sz="18" w:space="0" w:color="auto"/>
            </w:tcBorders>
            <w:vAlign w:val="center"/>
          </w:tcPr>
          <w:p w14:paraId="15F001B8" w14:textId="014BBBA0" w:rsidR="00E53E22" w:rsidRPr="00B05A0C" w:rsidRDefault="002C1124" w:rsidP="00FF031E">
            <w:pPr>
              <w:jc w:val="right"/>
              <w:rPr>
                <w:rFonts w:ascii="Arial" w:hAnsi="Arial" w:cs="Arial"/>
                <w:sz w:val="20"/>
                <w:szCs w:val="20"/>
              </w:rPr>
            </w:pPr>
            <w:r>
              <w:rPr>
                <w:rFonts w:ascii="Arial" w:hAnsi="Arial" w:cs="Arial"/>
                <w:sz w:val="20"/>
                <w:szCs w:val="20"/>
              </w:rPr>
              <w:t>9,489</w:t>
            </w:r>
          </w:p>
        </w:tc>
      </w:tr>
    </w:tbl>
    <w:p w14:paraId="6058D5BB" w14:textId="77777777" w:rsidR="00E53E22" w:rsidRPr="00B05A0C" w:rsidRDefault="00E53E22" w:rsidP="00E53E22"/>
    <w:p w14:paraId="4B0C5899" w14:textId="77777777" w:rsidR="00E53E22" w:rsidRPr="00B05A0C" w:rsidRDefault="00E53E22" w:rsidP="00E53E22">
      <w:pPr>
        <w:spacing w:after="160" w:line="259" w:lineRule="auto"/>
      </w:pPr>
      <w:r w:rsidRPr="00B05A0C">
        <w:br w:type="page"/>
      </w:r>
    </w:p>
    <w:tbl>
      <w:tblPr>
        <w:tblStyle w:val="TableGrid"/>
        <w:tblW w:w="10516" w:type="dxa"/>
        <w:tblInd w:w="-6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10"/>
        <w:gridCol w:w="2160"/>
        <w:gridCol w:w="2146"/>
      </w:tblGrid>
      <w:tr w:rsidR="00E53E22" w:rsidRPr="00B05A0C" w14:paraId="1B861393" w14:textId="77777777" w:rsidTr="00111318">
        <w:tc>
          <w:tcPr>
            <w:tcW w:w="10516" w:type="dxa"/>
            <w:gridSpan w:val="3"/>
            <w:tcBorders>
              <w:top w:val="single" w:sz="12" w:space="0" w:color="auto"/>
              <w:bottom w:val="nil"/>
            </w:tcBorders>
          </w:tcPr>
          <w:p w14:paraId="655225EE" w14:textId="189D1EC0" w:rsidR="00E53E22" w:rsidRPr="00B05A0C" w:rsidRDefault="00E53E22" w:rsidP="00FF031E">
            <w:pPr>
              <w:rPr>
                <w:rFonts w:ascii="Arial" w:hAnsi="Arial" w:cs="Arial"/>
                <w:sz w:val="20"/>
                <w:szCs w:val="20"/>
              </w:rPr>
            </w:pPr>
            <w:r w:rsidRPr="00B05A0C">
              <w:rPr>
                <w:rFonts w:ascii="Arial" w:hAnsi="Arial" w:cs="Arial"/>
                <w:b/>
                <w:sz w:val="20"/>
                <w:szCs w:val="20"/>
              </w:rPr>
              <w:t>Condensed Interim Consolidated Statements of (Loss)</w:t>
            </w:r>
            <w:r w:rsidR="00111318">
              <w:rPr>
                <w:rFonts w:ascii="Arial" w:hAnsi="Arial" w:cs="Arial"/>
                <w:b/>
                <w:sz w:val="20"/>
                <w:szCs w:val="20"/>
              </w:rPr>
              <w:t xml:space="preserve"> </w:t>
            </w:r>
            <w:r w:rsidR="00111318" w:rsidRPr="00B05A0C">
              <w:rPr>
                <w:rFonts w:ascii="Arial" w:hAnsi="Arial" w:cs="Arial"/>
                <w:b/>
                <w:sz w:val="20"/>
                <w:szCs w:val="20"/>
              </w:rPr>
              <w:t>Income</w:t>
            </w:r>
            <w:r w:rsidRPr="00B05A0C">
              <w:rPr>
                <w:rFonts w:ascii="Arial" w:hAnsi="Arial" w:cs="Arial"/>
                <w:b/>
                <w:sz w:val="20"/>
                <w:szCs w:val="20"/>
              </w:rPr>
              <w:t xml:space="preserve"> and Comprehensive (Loss) </w:t>
            </w:r>
          </w:p>
        </w:tc>
      </w:tr>
      <w:tr w:rsidR="00E53E22" w:rsidRPr="00B05A0C" w14:paraId="7C577A19" w14:textId="77777777" w:rsidTr="00E53E22">
        <w:tc>
          <w:tcPr>
            <w:tcW w:w="6210" w:type="dxa"/>
            <w:tcBorders>
              <w:top w:val="nil"/>
              <w:bottom w:val="nil"/>
              <w:right w:val="nil"/>
            </w:tcBorders>
          </w:tcPr>
          <w:p w14:paraId="01A9A867" w14:textId="77777777" w:rsidR="00E53E22" w:rsidRPr="00B05A0C" w:rsidRDefault="00E53E22" w:rsidP="00FF031E">
            <w:pPr>
              <w:pStyle w:val="TableParagraph"/>
              <w:spacing w:before="42"/>
              <w:rPr>
                <w:b/>
                <w:sz w:val="20"/>
                <w:szCs w:val="20"/>
              </w:rPr>
            </w:pPr>
            <w:r w:rsidRPr="00B05A0C">
              <w:rPr>
                <w:b/>
                <w:sz w:val="20"/>
                <w:szCs w:val="20"/>
              </w:rPr>
              <w:t>(Expressed in thousands of United States dollars)</w:t>
            </w:r>
          </w:p>
        </w:tc>
        <w:tc>
          <w:tcPr>
            <w:tcW w:w="2160" w:type="dxa"/>
            <w:tcBorders>
              <w:top w:val="nil"/>
              <w:left w:val="nil"/>
              <w:bottom w:val="nil"/>
              <w:right w:val="nil"/>
            </w:tcBorders>
          </w:tcPr>
          <w:p w14:paraId="64AE1B28" w14:textId="77777777" w:rsidR="00E53E22" w:rsidRPr="00B05A0C" w:rsidRDefault="00E53E22" w:rsidP="00FF031E">
            <w:pPr>
              <w:rPr>
                <w:rFonts w:ascii="Arial" w:hAnsi="Arial" w:cs="Arial"/>
                <w:sz w:val="20"/>
                <w:szCs w:val="20"/>
              </w:rPr>
            </w:pPr>
          </w:p>
        </w:tc>
        <w:tc>
          <w:tcPr>
            <w:tcW w:w="2146" w:type="dxa"/>
            <w:tcBorders>
              <w:top w:val="nil"/>
              <w:left w:val="nil"/>
              <w:bottom w:val="nil"/>
            </w:tcBorders>
          </w:tcPr>
          <w:p w14:paraId="0654C007" w14:textId="77777777" w:rsidR="00E53E22" w:rsidRPr="00B05A0C" w:rsidRDefault="00E53E22" w:rsidP="00FF031E">
            <w:pPr>
              <w:rPr>
                <w:rFonts w:ascii="Arial" w:hAnsi="Arial" w:cs="Arial"/>
                <w:sz w:val="20"/>
                <w:szCs w:val="20"/>
              </w:rPr>
            </w:pPr>
          </w:p>
        </w:tc>
      </w:tr>
      <w:tr w:rsidR="00E53E22" w:rsidRPr="00B05A0C" w14:paraId="3609C985" w14:textId="77777777" w:rsidTr="00E53E22">
        <w:tc>
          <w:tcPr>
            <w:tcW w:w="6210" w:type="dxa"/>
            <w:tcBorders>
              <w:top w:val="nil"/>
              <w:bottom w:val="nil"/>
              <w:right w:val="nil"/>
            </w:tcBorders>
          </w:tcPr>
          <w:p w14:paraId="42F3FBB5" w14:textId="77777777" w:rsidR="00E53E22" w:rsidRPr="00B05A0C" w:rsidRDefault="00E53E22" w:rsidP="00FF031E">
            <w:pPr>
              <w:pStyle w:val="TableParagraph"/>
              <w:spacing w:before="42"/>
              <w:rPr>
                <w:b/>
                <w:sz w:val="20"/>
                <w:szCs w:val="20"/>
              </w:rPr>
            </w:pPr>
            <w:r w:rsidRPr="00B05A0C">
              <w:rPr>
                <w:b/>
                <w:sz w:val="20"/>
                <w:szCs w:val="20"/>
              </w:rPr>
              <w:t>(Except common shares and per share amounts)</w:t>
            </w:r>
          </w:p>
        </w:tc>
        <w:tc>
          <w:tcPr>
            <w:tcW w:w="2160" w:type="dxa"/>
            <w:tcBorders>
              <w:top w:val="nil"/>
              <w:left w:val="nil"/>
              <w:bottom w:val="nil"/>
              <w:right w:val="nil"/>
            </w:tcBorders>
          </w:tcPr>
          <w:p w14:paraId="250C1484" w14:textId="77777777" w:rsidR="00E53E22" w:rsidRPr="00B05A0C" w:rsidRDefault="00E53E22" w:rsidP="00FF031E">
            <w:pPr>
              <w:rPr>
                <w:rFonts w:ascii="Arial" w:hAnsi="Arial" w:cs="Arial"/>
                <w:sz w:val="20"/>
                <w:szCs w:val="20"/>
              </w:rPr>
            </w:pPr>
          </w:p>
        </w:tc>
        <w:tc>
          <w:tcPr>
            <w:tcW w:w="2146" w:type="dxa"/>
            <w:tcBorders>
              <w:top w:val="nil"/>
              <w:left w:val="nil"/>
              <w:bottom w:val="nil"/>
            </w:tcBorders>
          </w:tcPr>
          <w:p w14:paraId="5B7BC38C" w14:textId="77777777" w:rsidR="00E53E22" w:rsidRPr="00B05A0C" w:rsidRDefault="00E53E22" w:rsidP="00FF031E">
            <w:pPr>
              <w:rPr>
                <w:rFonts w:ascii="Arial" w:hAnsi="Arial" w:cs="Arial"/>
                <w:sz w:val="20"/>
                <w:szCs w:val="20"/>
              </w:rPr>
            </w:pPr>
          </w:p>
        </w:tc>
      </w:tr>
      <w:tr w:rsidR="00E53E22" w:rsidRPr="00B05A0C" w14:paraId="083D55D9" w14:textId="77777777" w:rsidTr="00E53E22">
        <w:tc>
          <w:tcPr>
            <w:tcW w:w="6210" w:type="dxa"/>
            <w:tcBorders>
              <w:top w:val="nil"/>
              <w:bottom w:val="nil"/>
              <w:right w:val="nil"/>
            </w:tcBorders>
          </w:tcPr>
          <w:p w14:paraId="3084D03B" w14:textId="77777777" w:rsidR="00E53E22" w:rsidRPr="00B05A0C" w:rsidRDefault="00E53E22" w:rsidP="00FF031E">
            <w:pPr>
              <w:pStyle w:val="TableParagraph"/>
              <w:spacing w:before="42"/>
              <w:rPr>
                <w:b/>
                <w:sz w:val="20"/>
                <w:szCs w:val="20"/>
              </w:rPr>
            </w:pPr>
            <w:r w:rsidRPr="00B05A0C">
              <w:rPr>
                <w:b/>
                <w:sz w:val="20"/>
                <w:szCs w:val="20"/>
              </w:rPr>
              <w:t>Unaudited</w:t>
            </w:r>
          </w:p>
        </w:tc>
        <w:tc>
          <w:tcPr>
            <w:tcW w:w="2160" w:type="dxa"/>
            <w:tcBorders>
              <w:top w:val="nil"/>
              <w:left w:val="nil"/>
              <w:bottom w:val="nil"/>
              <w:right w:val="nil"/>
            </w:tcBorders>
          </w:tcPr>
          <w:p w14:paraId="723523E6" w14:textId="77777777" w:rsidR="00E53E22" w:rsidRPr="00B05A0C" w:rsidRDefault="00E53E22" w:rsidP="00FF031E">
            <w:pPr>
              <w:rPr>
                <w:rFonts w:ascii="Arial" w:hAnsi="Arial" w:cs="Arial"/>
                <w:sz w:val="20"/>
                <w:szCs w:val="20"/>
              </w:rPr>
            </w:pPr>
          </w:p>
        </w:tc>
        <w:tc>
          <w:tcPr>
            <w:tcW w:w="2146" w:type="dxa"/>
            <w:tcBorders>
              <w:top w:val="nil"/>
              <w:left w:val="nil"/>
              <w:bottom w:val="nil"/>
            </w:tcBorders>
          </w:tcPr>
          <w:p w14:paraId="7BAF1ECB" w14:textId="77777777" w:rsidR="00E53E22" w:rsidRPr="00B05A0C" w:rsidRDefault="00E53E22" w:rsidP="00FF031E">
            <w:pPr>
              <w:rPr>
                <w:rFonts w:ascii="Arial" w:hAnsi="Arial" w:cs="Arial"/>
                <w:sz w:val="20"/>
                <w:szCs w:val="20"/>
              </w:rPr>
            </w:pPr>
          </w:p>
        </w:tc>
      </w:tr>
      <w:tr w:rsidR="00E53E22" w:rsidRPr="00B05A0C" w14:paraId="0229B0AA" w14:textId="77777777" w:rsidTr="00E53E22">
        <w:tc>
          <w:tcPr>
            <w:tcW w:w="6210" w:type="dxa"/>
            <w:tcBorders>
              <w:top w:val="nil"/>
              <w:bottom w:val="single" w:sz="12" w:space="0" w:color="auto"/>
              <w:right w:val="nil"/>
            </w:tcBorders>
          </w:tcPr>
          <w:p w14:paraId="3413224D" w14:textId="77777777" w:rsidR="00E53E22" w:rsidRPr="00B05A0C" w:rsidRDefault="00E53E22" w:rsidP="00FF031E">
            <w:pPr>
              <w:rPr>
                <w:rFonts w:ascii="Arial" w:hAnsi="Arial" w:cs="Arial"/>
                <w:sz w:val="20"/>
                <w:szCs w:val="20"/>
              </w:rPr>
            </w:pPr>
          </w:p>
        </w:tc>
        <w:tc>
          <w:tcPr>
            <w:tcW w:w="2160" w:type="dxa"/>
            <w:tcBorders>
              <w:top w:val="nil"/>
              <w:left w:val="nil"/>
              <w:bottom w:val="single" w:sz="12" w:space="0" w:color="auto"/>
              <w:right w:val="nil"/>
            </w:tcBorders>
            <w:vAlign w:val="center"/>
          </w:tcPr>
          <w:p w14:paraId="5D17ADDA" w14:textId="6C9C05CC" w:rsidR="00E53E22" w:rsidRPr="00B05A0C" w:rsidRDefault="00111318" w:rsidP="00FF031E">
            <w:pPr>
              <w:jc w:val="center"/>
              <w:rPr>
                <w:rFonts w:ascii="Arial" w:hAnsi="Arial" w:cs="Arial"/>
                <w:b/>
                <w:bCs/>
                <w:sz w:val="20"/>
                <w:szCs w:val="20"/>
              </w:rPr>
            </w:pPr>
            <w:r>
              <w:rPr>
                <w:rFonts w:ascii="Arial" w:hAnsi="Arial" w:cs="Arial"/>
                <w:b/>
                <w:sz w:val="20"/>
                <w:szCs w:val="20"/>
              </w:rPr>
              <w:t>Six</w:t>
            </w:r>
            <w:r w:rsidR="00E53E22" w:rsidRPr="00B05A0C">
              <w:rPr>
                <w:rFonts w:ascii="Arial" w:hAnsi="Arial" w:cs="Arial"/>
                <w:b/>
                <w:sz w:val="20"/>
                <w:szCs w:val="20"/>
              </w:rPr>
              <w:t xml:space="preserve"> Months Ended</w:t>
            </w:r>
            <w:r w:rsidR="00E53E22" w:rsidRPr="00B05A0C">
              <w:rPr>
                <w:rFonts w:ascii="Arial" w:hAnsi="Arial" w:cs="Arial"/>
                <w:b/>
                <w:bCs/>
                <w:sz w:val="20"/>
                <w:szCs w:val="20"/>
              </w:rPr>
              <w:t xml:space="preserve"> </w:t>
            </w:r>
          </w:p>
          <w:p w14:paraId="707561C7" w14:textId="32FBEFB1" w:rsidR="00E53E22" w:rsidRPr="00B05A0C" w:rsidRDefault="00111318" w:rsidP="00FF031E">
            <w:pPr>
              <w:jc w:val="center"/>
              <w:rPr>
                <w:rFonts w:ascii="Arial" w:hAnsi="Arial" w:cs="Arial"/>
                <w:b/>
                <w:bCs/>
                <w:sz w:val="20"/>
                <w:szCs w:val="20"/>
              </w:rPr>
            </w:pPr>
            <w:r>
              <w:rPr>
                <w:rFonts w:ascii="Arial" w:hAnsi="Arial" w:cs="Arial"/>
                <w:b/>
                <w:bCs/>
                <w:sz w:val="20"/>
                <w:szCs w:val="20"/>
              </w:rPr>
              <w:t>November 30</w:t>
            </w:r>
            <w:r w:rsidR="00E53E22" w:rsidRPr="00B05A0C">
              <w:rPr>
                <w:rFonts w:ascii="Arial" w:hAnsi="Arial" w:cs="Arial"/>
                <w:b/>
                <w:bCs/>
                <w:sz w:val="20"/>
                <w:szCs w:val="20"/>
              </w:rPr>
              <w:t>, 2025</w:t>
            </w:r>
          </w:p>
          <w:p w14:paraId="62350A79" w14:textId="77777777"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w:t>
            </w:r>
          </w:p>
        </w:tc>
        <w:tc>
          <w:tcPr>
            <w:tcW w:w="2146" w:type="dxa"/>
            <w:tcBorders>
              <w:top w:val="nil"/>
              <w:left w:val="nil"/>
              <w:bottom w:val="single" w:sz="12" w:space="0" w:color="auto"/>
            </w:tcBorders>
            <w:vAlign w:val="center"/>
          </w:tcPr>
          <w:p w14:paraId="27DFB57A" w14:textId="27BA6F87" w:rsidR="00E53E22" w:rsidRPr="00B05A0C" w:rsidRDefault="00111318" w:rsidP="00FF031E">
            <w:pPr>
              <w:jc w:val="center"/>
              <w:rPr>
                <w:rFonts w:ascii="Arial" w:hAnsi="Arial" w:cs="Arial"/>
                <w:b/>
                <w:sz w:val="20"/>
                <w:szCs w:val="20"/>
              </w:rPr>
            </w:pPr>
            <w:r>
              <w:rPr>
                <w:rFonts w:ascii="Arial" w:hAnsi="Arial" w:cs="Arial"/>
                <w:b/>
                <w:sz w:val="20"/>
                <w:szCs w:val="20"/>
              </w:rPr>
              <w:t>Six</w:t>
            </w:r>
            <w:r w:rsidR="00E53E22" w:rsidRPr="00B05A0C">
              <w:rPr>
                <w:rFonts w:ascii="Arial" w:hAnsi="Arial" w:cs="Arial"/>
                <w:b/>
                <w:sz w:val="20"/>
                <w:szCs w:val="20"/>
              </w:rPr>
              <w:t xml:space="preserve"> Months Ended </w:t>
            </w:r>
          </w:p>
          <w:p w14:paraId="4C41C3EA" w14:textId="3394B5D8" w:rsidR="00E53E22" w:rsidRPr="00B05A0C" w:rsidRDefault="00111318" w:rsidP="00FF031E">
            <w:pPr>
              <w:jc w:val="center"/>
              <w:rPr>
                <w:rFonts w:ascii="Arial" w:hAnsi="Arial" w:cs="Arial"/>
                <w:b/>
                <w:sz w:val="20"/>
                <w:szCs w:val="20"/>
              </w:rPr>
            </w:pPr>
            <w:r>
              <w:rPr>
                <w:rFonts w:ascii="Arial" w:hAnsi="Arial" w:cs="Arial"/>
                <w:b/>
                <w:sz w:val="20"/>
                <w:szCs w:val="20"/>
              </w:rPr>
              <w:t>November 30</w:t>
            </w:r>
            <w:r w:rsidR="00E53E22" w:rsidRPr="00B05A0C">
              <w:rPr>
                <w:rFonts w:ascii="Arial" w:hAnsi="Arial" w:cs="Arial"/>
                <w:b/>
                <w:sz w:val="20"/>
                <w:szCs w:val="20"/>
              </w:rPr>
              <w:t>, 2024</w:t>
            </w:r>
          </w:p>
          <w:p w14:paraId="1205C380" w14:textId="77777777" w:rsidR="00E53E22" w:rsidRPr="00B05A0C" w:rsidRDefault="00E53E22" w:rsidP="00FF031E">
            <w:pPr>
              <w:jc w:val="center"/>
              <w:rPr>
                <w:rFonts w:ascii="Arial" w:hAnsi="Arial" w:cs="Arial"/>
                <w:b/>
                <w:bCs/>
                <w:sz w:val="20"/>
                <w:szCs w:val="20"/>
              </w:rPr>
            </w:pPr>
            <w:r w:rsidRPr="00B05A0C">
              <w:rPr>
                <w:rFonts w:ascii="Arial" w:hAnsi="Arial" w:cs="Arial"/>
                <w:b/>
                <w:bCs/>
                <w:sz w:val="20"/>
                <w:szCs w:val="20"/>
              </w:rPr>
              <w:t>$</w:t>
            </w:r>
          </w:p>
        </w:tc>
      </w:tr>
      <w:tr w:rsidR="00E53E22" w:rsidRPr="00B05A0C" w14:paraId="5DC5FF23" w14:textId="77777777" w:rsidTr="00E53E22">
        <w:tc>
          <w:tcPr>
            <w:tcW w:w="6210" w:type="dxa"/>
            <w:tcBorders>
              <w:top w:val="single" w:sz="12" w:space="0" w:color="auto"/>
              <w:bottom w:val="nil"/>
              <w:right w:val="nil"/>
            </w:tcBorders>
            <w:vAlign w:val="bottom"/>
          </w:tcPr>
          <w:p w14:paraId="146B0EDA" w14:textId="77777777" w:rsidR="00E53E22" w:rsidRPr="00B05A0C" w:rsidRDefault="00E53E22" w:rsidP="00FF031E">
            <w:pPr>
              <w:rPr>
                <w:rFonts w:ascii="Arial" w:hAnsi="Arial" w:cs="Arial"/>
                <w:sz w:val="20"/>
                <w:szCs w:val="20"/>
              </w:rPr>
            </w:pPr>
          </w:p>
        </w:tc>
        <w:tc>
          <w:tcPr>
            <w:tcW w:w="2160" w:type="dxa"/>
            <w:tcBorders>
              <w:top w:val="single" w:sz="12" w:space="0" w:color="auto"/>
              <w:left w:val="nil"/>
              <w:bottom w:val="nil"/>
              <w:right w:val="nil"/>
            </w:tcBorders>
            <w:vAlign w:val="center"/>
          </w:tcPr>
          <w:p w14:paraId="6A25714D" w14:textId="77777777" w:rsidR="00E53E22" w:rsidRPr="00B05A0C" w:rsidRDefault="00E53E22" w:rsidP="00FF031E">
            <w:pPr>
              <w:jc w:val="right"/>
              <w:rPr>
                <w:rFonts w:ascii="Arial" w:hAnsi="Arial" w:cs="Arial"/>
                <w:sz w:val="20"/>
                <w:szCs w:val="20"/>
              </w:rPr>
            </w:pPr>
          </w:p>
        </w:tc>
        <w:tc>
          <w:tcPr>
            <w:tcW w:w="2146" w:type="dxa"/>
            <w:tcBorders>
              <w:top w:val="single" w:sz="12" w:space="0" w:color="auto"/>
              <w:left w:val="nil"/>
              <w:bottom w:val="nil"/>
            </w:tcBorders>
            <w:vAlign w:val="center"/>
          </w:tcPr>
          <w:p w14:paraId="397878FB" w14:textId="77777777" w:rsidR="00E53E22" w:rsidRPr="00B05A0C" w:rsidRDefault="00E53E22" w:rsidP="00FF031E">
            <w:pPr>
              <w:jc w:val="right"/>
              <w:rPr>
                <w:rFonts w:ascii="Arial" w:hAnsi="Arial" w:cs="Arial"/>
                <w:sz w:val="20"/>
                <w:szCs w:val="20"/>
              </w:rPr>
            </w:pPr>
          </w:p>
        </w:tc>
      </w:tr>
      <w:tr w:rsidR="00E53E22" w:rsidRPr="00B05A0C" w14:paraId="559FA25E" w14:textId="77777777" w:rsidTr="00E53E22">
        <w:tc>
          <w:tcPr>
            <w:tcW w:w="6210" w:type="dxa"/>
            <w:tcBorders>
              <w:top w:val="nil"/>
              <w:bottom w:val="nil"/>
              <w:right w:val="nil"/>
            </w:tcBorders>
            <w:vAlign w:val="bottom"/>
          </w:tcPr>
          <w:p w14:paraId="0FD9C646" w14:textId="77777777" w:rsidR="00E53E22" w:rsidRPr="00B05A0C" w:rsidRDefault="00E53E22" w:rsidP="00FF031E">
            <w:pPr>
              <w:pStyle w:val="TableParagraph"/>
              <w:spacing w:before="112"/>
              <w:rPr>
                <w:b/>
                <w:sz w:val="20"/>
                <w:szCs w:val="20"/>
              </w:rPr>
            </w:pPr>
          </w:p>
        </w:tc>
        <w:tc>
          <w:tcPr>
            <w:tcW w:w="2160" w:type="dxa"/>
            <w:tcBorders>
              <w:top w:val="nil"/>
              <w:left w:val="nil"/>
              <w:bottom w:val="nil"/>
              <w:right w:val="nil"/>
            </w:tcBorders>
            <w:vAlign w:val="center"/>
          </w:tcPr>
          <w:p w14:paraId="309815C4" w14:textId="77777777" w:rsidR="00E53E22" w:rsidRPr="00B05A0C" w:rsidRDefault="00E53E22" w:rsidP="00FF031E">
            <w:pPr>
              <w:jc w:val="right"/>
              <w:rPr>
                <w:rFonts w:ascii="Arial" w:hAnsi="Arial" w:cs="Arial"/>
                <w:sz w:val="20"/>
                <w:szCs w:val="20"/>
              </w:rPr>
            </w:pPr>
          </w:p>
        </w:tc>
        <w:tc>
          <w:tcPr>
            <w:tcW w:w="2146" w:type="dxa"/>
            <w:tcBorders>
              <w:top w:val="nil"/>
              <w:left w:val="nil"/>
              <w:bottom w:val="nil"/>
            </w:tcBorders>
            <w:vAlign w:val="center"/>
          </w:tcPr>
          <w:p w14:paraId="5587CBBB" w14:textId="77777777" w:rsidR="00E53E22" w:rsidRPr="00B05A0C" w:rsidRDefault="00E53E22" w:rsidP="00FF031E">
            <w:pPr>
              <w:jc w:val="right"/>
              <w:rPr>
                <w:rFonts w:ascii="Arial" w:hAnsi="Arial" w:cs="Arial"/>
                <w:sz w:val="20"/>
                <w:szCs w:val="20"/>
              </w:rPr>
            </w:pPr>
          </w:p>
        </w:tc>
      </w:tr>
      <w:tr w:rsidR="00E53E22" w:rsidRPr="00B05A0C" w14:paraId="4A6EFA0F" w14:textId="77777777" w:rsidTr="00E53E22">
        <w:tc>
          <w:tcPr>
            <w:tcW w:w="6210" w:type="dxa"/>
            <w:tcBorders>
              <w:top w:val="nil"/>
              <w:bottom w:val="nil"/>
              <w:right w:val="nil"/>
            </w:tcBorders>
            <w:vAlign w:val="bottom"/>
          </w:tcPr>
          <w:p w14:paraId="6824DD64"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Corporate and administrative expenses</w:t>
            </w:r>
          </w:p>
        </w:tc>
        <w:tc>
          <w:tcPr>
            <w:tcW w:w="2160" w:type="dxa"/>
            <w:tcBorders>
              <w:top w:val="nil"/>
              <w:left w:val="nil"/>
              <w:bottom w:val="nil"/>
              <w:right w:val="nil"/>
            </w:tcBorders>
            <w:vAlign w:val="center"/>
          </w:tcPr>
          <w:p w14:paraId="694E3F16" w14:textId="48AE68D1"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w:t>
            </w:r>
            <w:r w:rsidR="00111318">
              <w:rPr>
                <w:rFonts w:ascii="Arial" w:hAnsi="Arial" w:cs="Arial"/>
                <w:b/>
                <w:bCs/>
                <w:sz w:val="20"/>
                <w:szCs w:val="20"/>
              </w:rPr>
              <w:t>995</w:t>
            </w:r>
            <w:r w:rsidRPr="00B05A0C">
              <w:rPr>
                <w:rFonts w:ascii="Arial" w:hAnsi="Arial" w:cs="Arial"/>
                <w:b/>
                <w:bCs/>
                <w:sz w:val="20"/>
                <w:szCs w:val="20"/>
              </w:rPr>
              <w:t>)</w:t>
            </w:r>
          </w:p>
        </w:tc>
        <w:tc>
          <w:tcPr>
            <w:tcW w:w="2146" w:type="dxa"/>
            <w:tcBorders>
              <w:top w:val="nil"/>
              <w:left w:val="nil"/>
              <w:bottom w:val="nil"/>
            </w:tcBorders>
            <w:vAlign w:val="center"/>
          </w:tcPr>
          <w:p w14:paraId="79D70F32" w14:textId="30F2EF80" w:rsidR="00E53E22" w:rsidRPr="00B05A0C" w:rsidRDefault="00E53E22" w:rsidP="00FF031E">
            <w:pPr>
              <w:jc w:val="right"/>
              <w:rPr>
                <w:rFonts w:ascii="Arial" w:hAnsi="Arial" w:cs="Arial"/>
                <w:sz w:val="20"/>
                <w:szCs w:val="20"/>
              </w:rPr>
            </w:pPr>
            <w:r w:rsidRPr="00B05A0C">
              <w:rPr>
                <w:rFonts w:ascii="Arial" w:hAnsi="Arial" w:cs="Arial"/>
                <w:sz w:val="20"/>
                <w:szCs w:val="20"/>
              </w:rPr>
              <w:t>(</w:t>
            </w:r>
            <w:r w:rsidR="00111318">
              <w:rPr>
                <w:rFonts w:ascii="Arial" w:hAnsi="Arial" w:cs="Arial"/>
                <w:sz w:val="20"/>
                <w:szCs w:val="20"/>
              </w:rPr>
              <w:t>913</w:t>
            </w:r>
            <w:r w:rsidRPr="00B05A0C">
              <w:rPr>
                <w:rFonts w:ascii="Arial" w:hAnsi="Arial" w:cs="Arial"/>
                <w:sz w:val="20"/>
                <w:szCs w:val="20"/>
              </w:rPr>
              <w:t>)</w:t>
            </w:r>
          </w:p>
        </w:tc>
      </w:tr>
      <w:tr w:rsidR="00E53E22" w:rsidRPr="00B05A0C" w14:paraId="36F21572" w14:textId="77777777" w:rsidTr="00E53E22">
        <w:tc>
          <w:tcPr>
            <w:tcW w:w="6210" w:type="dxa"/>
            <w:tcBorders>
              <w:top w:val="nil"/>
              <w:bottom w:val="nil"/>
              <w:right w:val="nil"/>
            </w:tcBorders>
            <w:vAlign w:val="bottom"/>
          </w:tcPr>
          <w:p w14:paraId="1E7BE5E5"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Exploration expenses</w:t>
            </w:r>
          </w:p>
        </w:tc>
        <w:tc>
          <w:tcPr>
            <w:tcW w:w="2160" w:type="dxa"/>
            <w:tcBorders>
              <w:top w:val="nil"/>
              <w:left w:val="nil"/>
              <w:bottom w:val="nil"/>
              <w:right w:val="nil"/>
            </w:tcBorders>
            <w:vAlign w:val="center"/>
          </w:tcPr>
          <w:p w14:paraId="122F50DF" w14:textId="559C636A"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(1</w:t>
            </w:r>
            <w:r w:rsidR="00111318">
              <w:rPr>
                <w:rFonts w:ascii="Arial" w:hAnsi="Arial" w:cs="Arial"/>
                <w:b/>
                <w:bCs/>
                <w:sz w:val="20"/>
                <w:szCs w:val="20"/>
              </w:rPr>
              <w:t>32</w:t>
            </w:r>
            <w:r w:rsidRPr="00B05A0C">
              <w:rPr>
                <w:rFonts w:ascii="Arial" w:hAnsi="Arial" w:cs="Arial"/>
                <w:b/>
                <w:bCs/>
                <w:sz w:val="20"/>
                <w:szCs w:val="20"/>
              </w:rPr>
              <w:t>)</w:t>
            </w:r>
          </w:p>
        </w:tc>
        <w:tc>
          <w:tcPr>
            <w:tcW w:w="2146" w:type="dxa"/>
            <w:tcBorders>
              <w:top w:val="nil"/>
              <w:left w:val="nil"/>
              <w:bottom w:val="nil"/>
            </w:tcBorders>
            <w:vAlign w:val="center"/>
          </w:tcPr>
          <w:p w14:paraId="3C3E23D9" w14:textId="53B044B6" w:rsidR="00E53E22" w:rsidRPr="00B05A0C" w:rsidRDefault="00E53E22" w:rsidP="00FF031E">
            <w:pPr>
              <w:jc w:val="right"/>
              <w:rPr>
                <w:rFonts w:ascii="Arial" w:hAnsi="Arial" w:cs="Arial"/>
                <w:sz w:val="20"/>
                <w:szCs w:val="20"/>
              </w:rPr>
            </w:pPr>
            <w:r w:rsidRPr="00B05A0C">
              <w:rPr>
                <w:rFonts w:ascii="Arial" w:hAnsi="Arial" w:cs="Arial"/>
                <w:sz w:val="20"/>
                <w:szCs w:val="20"/>
              </w:rPr>
              <w:t>(</w:t>
            </w:r>
            <w:r w:rsidR="00111318">
              <w:rPr>
                <w:rFonts w:ascii="Arial" w:hAnsi="Arial" w:cs="Arial"/>
                <w:sz w:val="20"/>
                <w:szCs w:val="20"/>
              </w:rPr>
              <w:t>109</w:t>
            </w:r>
            <w:r w:rsidRPr="00B05A0C">
              <w:rPr>
                <w:rFonts w:ascii="Arial" w:hAnsi="Arial" w:cs="Arial"/>
                <w:sz w:val="20"/>
                <w:szCs w:val="20"/>
              </w:rPr>
              <w:t>)</w:t>
            </w:r>
          </w:p>
        </w:tc>
      </w:tr>
      <w:tr w:rsidR="00E53E22" w:rsidRPr="00B05A0C" w14:paraId="7A4DBC78" w14:textId="77777777" w:rsidTr="00E53E22">
        <w:tc>
          <w:tcPr>
            <w:tcW w:w="6210" w:type="dxa"/>
            <w:tcBorders>
              <w:top w:val="nil"/>
              <w:bottom w:val="nil"/>
              <w:right w:val="nil"/>
            </w:tcBorders>
            <w:vAlign w:val="bottom"/>
          </w:tcPr>
          <w:p w14:paraId="002D998C"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Share-based compensation</w:t>
            </w:r>
          </w:p>
        </w:tc>
        <w:tc>
          <w:tcPr>
            <w:tcW w:w="2160" w:type="dxa"/>
            <w:tcBorders>
              <w:top w:val="nil"/>
              <w:left w:val="nil"/>
              <w:bottom w:val="nil"/>
              <w:right w:val="nil"/>
            </w:tcBorders>
            <w:vAlign w:val="center"/>
          </w:tcPr>
          <w:p w14:paraId="70684F3F" w14:textId="76EC6221"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w:t>
            </w:r>
            <w:r w:rsidR="00111318">
              <w:rPr>
                <w:rFonts w:ascii="Arial" w:hAnsi="Arial" w:cs="Arial"/>
                <w:b/>
                <w:bCs/>
                <w:sz w:val="20"/>
                <w:szCs w:val="20"/>
              </w:rPr>
              <w:t>706</w:t>
            </w:r>
            <w:r w:rsidRPr="00B05A0C">
              <w:rPr>
                <w:rFonts w:ascii="Arial" w:hAnsi="Arial" w:cs="Arial"/>
                <w:b/>
                <w:bCs/>
                <w:sz w:val="20"/>
                <w:szCs w:val="20"/>
              </w:rPr>
              <w:t>)</w:t>
            </w:r>
          </w:p>
        </w:tc>
        <w:tc>
          <w:tcPr>
            <w:tcW w:w="2146" w:type="dxa"/>
            <w:tcBorders>
              <w:top w:val="nil"/>
              <w:left w:val="nil"/>
              <w:bottom w:val="nil"/>
            </w:tcBorders>
            <w:vAlign w:val="center"/>
          </w:tcPr>
          <w:p w14:paraId="6CB5175A" w14:textId="7826FA59" w:rsidR="00E53E22" w:rsidRPr="00B05A0C" w:rsidRDefault="00111318" w:rsidP="00FF031E">
            <w:pPr>
              <w:jc w:val="right"/>
              <w:rPr>
                <w:rFonts w:ascii="Arial" w:hAnsi="Arial" w:cs="Arial"/>
                <w:sz w:val="20"/>
                <w:szCs w:val="20"/>
              </w:rPr>
            </w:pPr>
            <w:r>
              <w:rPr>
                <w:rFonts w:ascii="Arial" w:hAnsi="Arial" w:cs="Arial"/>
                <w:sz w:val="20"/>
                <w:szCs w:val="20"/>
              </w:rPr>
              <w:t>(107)</w:t>
            </w:r>
          </w:p>
        </w:tc>
      </w:tr>
      <w:tr w:rsidR="00E53E22" w:rsidRPr="00B05A0C" w14:paraId="431DEC83" w14:textId="77777777" w:rsidTr="00E53E22">
        <w:tc>
          <w:tcPr>
            <w:tcW w:w="6210" w:type="dxa"/>
            <w:tcBorders>
              <w:top w:val="nil"/>
              <w:bottom w:val="nil"/>
              <w:right w:val="nil"/>
            </w:tcBorders>
            <w:vAlign w:val="bottom"/>
          </w:tcPr>
          <w:p w14:paraId="134453A3"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Other income</w:t>
            </w:r>
          </w:p>
        </w:tc>
        <w:tc>
          <w:tcPr>
            <w:tcW w:w="2160" w:type="dxa"/>
            <w:tcBorders>
              <w:top w:val="nil"/>
              <w:left w:val="nil"/>
              <w:bottom w:val="nil"/>
              <w:right w:val="nil"/>
            </w:tcBorders>
            <w:vAlign w:val="center"/>
          </w:tcPr>
          <w:p w14:paraId="3F495A6C" w14:textId="7CD161E6" w:rsidR="00E53E22" w:rsidRPr="00B05A0C" w:rsidRDefault="00111318" w:rsidP="00FF031E">
            <w:pPr>
              <w:jc w:val="right"/>
              <w:rPr>
                <w:rFonts w:ascii="Arial" w:hAnsi="Arial" w:cs="Arial"/>
                <w:b/>
                <w:bCs/>
                <w:sz w:val="20"/>
                <w:szCs w:val="20"/>
              </w:rPr>
            </w:pPr>
            <w:r>
              <w:rPr>
                <w:rFonts w:ascii="Arial" w:hAnsi="Arial" w:cs="Arial"/>
                <w:b/>
                <w:bCs/>
                <w:sz w:val="20"/>
                <w:szCs w:val="20"/>
              </w:rPr>
              <w:t>8</w:t>
            </w:r>
          </w:p>
        </w:tc>
        <w:tc>
          <w:tcPr>
            <w:tcW w:w="2146" w:type="dxa"/>
            <w:tcBorders>
              <w:top w:val="nil"/>
              <w:left w:val="nil"/>
              <w:bottom w:val="nil"/>
            </w:tcBorders>
            <w:vAlign w:val="center"/>
          </w:tcPr>
          <w:p w14:paraId="7C1EC2A3" w14:textId="0F461BAC" w:rsidR="00E53E22" w:rsidRPr="00B05A0C" w:rsidRDefault="00111318" w:rsidP="00FF031E">
            <w:pPr>
              <w:jc w:val="right"/>
              <w:rPr>
                <w:rFonts w:ascii="Arial" w:hAnsi="Arial" w:cs="Arial"/>
                <w:sz w:val="20"/>
                <w:szCs w:val="20"/>
              </w:rPr>
            </w:pPr>
            <w:r>
              <w:rPr>
                <w:rFonts w:ascii="Arial" w:hAnsi="Arial" w:cs="Arial"/>
                <w:sz w:val="20"/>
                <w:szCs w:val="20"/>
              </w:rPr>
              <w:t>51</w:t>
            </w:r>
          </w:p>
        </w:tc>
      </w:tr>
      <w:tr w:rsidR="00E53E22" w:rsidRPr="00B05A0C" w14:paraId="64C58F16" w14:textId="77777777" w:rsidTr="00E53E22">
        <w:tc>
          <w:tcPr>
            <w:tcW w:w="6210" w:type="dxa"/>
            <w:tcBorders>
              <w:top w:val="nil"/>
              <w:bottom w:val="nil"/>
              <w:right w:val="nil"/>
            </w:tcBorders>
            <w:vAlign w:val="bottom"/>
          </w:tcPr>
          <w:p w14:paraId="6E073CD2"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Net finance cost</w:t>
            </w:r>
          </w:p>
        </w:tc>
        <w:tc>
          <w:tcPr>
            <w:tcW w:w="2160" w:type="dxa"/>
            <w:tcBorders>
              <w:top w:val="nil"/>
              <w:left w:val="nil"/>
              <w:bottom w:val="nil"/>
              <w:right w:val="nil"/>
            </w:tcBorders>
            <w:vAlign w:val="center"/>
          </w:tcPr>
          <w:p w14:paraId="26B53F53" w14:textId="14804701"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w:t>
            </w:r>
            <w:r w:rsidR="00E12249" w:rsidRPr="00B05A0C">
              <w:rPr>
                <w:rFonts w:ascii="Arial" w:hAnsi="Arial" w:cs="Arial"/>
                <w:b/>
                <w:bCs/>
                <w:sz w:val="20"/>
                <w:szCs w:val="20"/>
              </w:rPr>
              <w:t>1</w:t>
            </w:r>
            <w:r w:rsidR="00111318">
              <w:rPr>
                <w:rFonts w:ascii="Arial" w:hAnsi="Arial" w:cs="Arial"/>
                <w:b/>
                <w:bCs/>
                <w:sz w:val="20"/>
                <w:szCs w:val="20"/>
              </w:rPr>
              <w:t>7</w:t>
            </w:r>
            <w:r w:rsidRPr="00B05A0C">
              <w:rPr>
                <w:rFonts w:ascii="Arial" w:hAnsi="Arial" w:cs="Arial"/>
                <w:b/>
                <w:bCs/>
                <w:sz w:val="20"/>
                <w:szCs w:val="20"/>
              </w:rPr>
              <w:t>)</w:t>
            </w:r>
          </w:p>
        </w:tc>
        <w:tc>
          <w:tcPr>
            <w:tcW w:w="2146" w:type="dxa"/>
            <w:tcBorders>
              <w:top w:val="nil"/>
              <w:left w:val="nil"/>
              <w:bottom w:val="nil"/>
            </w:tcBorders>
            <w:vAlign w:val="center"/>
          </w:tcPr>
          <w:p w14:paraId="124B1086" w14:textId="3F332B4A" w:rsidR="00E53E22" w:rsidRPr="00B05A0C" w:rsidRDefault="00E53E22" w:rsidP="00FF031E">
            <w:pPr>
              <w:jc w:val="right"/>
              <w:rPr>
                <w:rFonts w:ascii="Arial" w:hAnsi="Arial" w:cs="Arial"/>
                <w:sz w:val="20"/>
                <w:szCs w:val="20"/>
              </w:rPr>
            </w:pPr>
            <w:r w:rsidRPr="00B05A0C">
              <w:rPr>
                <w:rFonts w:ascii="Arial" w:hAnsi="Arial" w:cs="Arial"/>
                <w:sz w:val="20"/>
                <w:szCs w:val="20"/>
              </w:rPr>
              <w:t>(</w:t>
            </w:r>
            <w:r w:rsidR="00111318">
              <w:rPr>
                <w:rFonts w:ascii="Arial" w:hAnsi="Arial" w:cs="Arial"/>
                <w:sz w:val="20"/>
                <w:szCs w:val="20"/>
              </w:rPr>
              <w:t>6</w:t>
            </w:r>
            <w:r w:rsidRPr="00B05A0C">
              <w:rPr>
                <w:rFonts w:ascii="Arial" w:hAnsi="Arial" w:cs="Arial"/>
                <w:sz w:val="20"/>
                <w:szCs w:val="20"/>
              </w:rPr>
              <w:t>)</w:t>
            </w:r>
          </w:p>
        </w:tc>
      </w:tr>
      <w:tr w:rsidR="00111318" w:rsidRPr="00B05A0C" w14:paraId="5CE46410" w14:textId="77777777" w:rsidTr="00E53E22">
        <w:tc>
          <w:tcPr>
            <w:tcW w:w="6210" w:type="dxa"/>
            <w:tcBorders>
              <w:top w:val="nil"/>
              <w:bottom w:val="nil"/>
              <w:right w:val="nil"/>
            </w:tcBorders>
            <w:vAlign w:val="bottom"/>
          </w:tcPr>
          <w:p w14:paraId="73ED8610" w14:textId="14C3109E" w:rsidR="00111318" w:rsidRPr="00B05A0C" w:rsidRDefault="00111318" w:rsidP="00FF031E">
            <w:pPr>
              <w:ind w:left="162"/>
              <w:rPr>
                <w:rFonts w:ascii="Arial" w:hAnsi="Arial" w:cs="Arial"/>
                <w:sz w:val="20"/>
                <w:szCs w:val="20"/>
              </w:rPr>
            </w:pPr>
            <w:r>
              <w:rPr>
                <w:rFonts w:ascii="Arial" w:hAnsi="Arial" w:cs="Arial"/>
                <w:sz w:val="20"/>
                <w:szCs w:val="20"/>
              </w:rPr>
              <w:t>Loss on fair value of warrants</w:t>
            </w:r>
          </w:p>
        </w:tc>
        <w:tc>
          <w:tcPr>
            <w:tcW w:w="2160" w:type="dxa"/>
            <w:tcBorders>
              <w:top w:val="nil"/>
              <w:left w:val="nil"/>
              <w:bottom w:val="nil"/>
              <w:right w:val="nil"/>
            </w:tcBorders>
            <w:vAlign w:val="center"/>
          </w:tcPr>
          <w:p w14:paraId="7A3D0FBE" w14:textId="5CDA4455" w:rsidR="00111318" w:rsidRPr="00B05A0C" w:rsidRDefault="00111318" w:rsidP="00FF031E">
            <w:pPr>
              <w:jc w:val="right"/>
              <w:rPr>
                <w:rFonts w:ascii="Arial" w:hAnsi="Arial" w:cs="Arial"/>
                <w:b/>
                <w:bCs/>
                <w:sz w:val="20"/>
                <w:szCs w:val="20"/>
              </w:rPr>
            </w:pPr>
            <w:r>
              <w:rPr>
                <w:rFonts w:ascii="Arial" w:hAnsi="Arial" w:cs="Arial"/>
                <w:b/>
                <w:bCs/>
                <w:sz w:val="20"/>
                <w:szCs w:val="20"/>
              </w:rPr>
              <w:t>(2,532)</w:t>
            </w:r>
          </w:p>
        </w:tc>
        <w:tc>
          <w:tcPr>
            <w:tcW w:w="2146" w:type="dxa"/>
            <w:tcBorders>
              <w:top w:val="nil"/>
              <w:left w:val="nil"/>
              <w:bottom w:val="nil"/>
            </w:tcBorders>
            <w:vAlign w:val="center"/>
          </w:tcPr>
          <w:p w14:paraId="1391D6A6" w14:textId="3C7C67CA" w:rsidR="00111318" w:rsidRPr="00B05A0C" w:rsidRDefault="00111318" w:rsidP="00FF031E">
            <w:pPr>
              <w:jc w:val="right"/>
              <w:rPr>
                <w:rFonts w:ascii="Arial" w:hAnsi="Arial" w:cs="Arial"/>
                <w:sz w:val="20"/>
                <w:szCs w:val="20"/>
              </w:rPr>
            </w:pPr>
            <w:r>
              <w:rPr>
                <w:rFonts w:ascii="Arial" w:hAnsi="Arial" w:cs="Arial"/>
                <w:sz w:val="20"/>
                <w:szCs w:val="20"/>
              </w:rPr>
              <w:t>-</w:t>
            </w:r>
          </w:p>
        </w:tc>
      </w:tr>
      <w:tr w:rsidR="00E53E22" w:rsidRPr="00B05A0C" w14:paraId="1CD7D3B5" w14:textId="77777777" w:rsidTr="00E53E22">
        <w:tc>
          <w:tcPr>
            <w:tcW w:w="6210" w:type="dxa"/>
            <w:tcBorders>
              <w:top w:val="nil"/>
              <w:bottom w:val="single" w:sz="4" w:space="0" w:color="auto"/>
              <w:right w:val="nil"/>
            </w:tcBorders>
            <w:vAlign w:val="bottom"/>
          </w:tcPr>
          <w:p w14:paraId="0A0F37DB" w14:textId="768BE750" w:rsidR="00E53E22" w:rsidRPr="00B05A0C" w:rsidRDefault="00E53E22" w:rsidP="00FF031E">
            <w:pPr>
              <w:ind w:left="162"/>
              <w:rPr>
                <w:rFonts w:ascii="Arial" w:hAnsi="Arial" w:cs="Arial"/>
                <w:sz w:val="20"/>
                <w:szCs w:val="20"/>
              </w:rPr>
            </w:pPr>
            <w:r w:rsidRPr="00B05A0C">
              <w:rPr>
                <w:rFonts w:ascii="Arial" w:hAnsi="Arial" w:cs="Arial"/>
                <w:sz w:val="20"/>
                <w:szCs w:val="20"/>
              </w:rPr>
              <w:t xml:space="preserve">Foreign exchange </w:t>
            </w:r>
            <w:r w:rsidR="007678AD">
              <w:rPr>
                <w:rFonts w:ascii="Arial" w:hAnsi="Arial" w:cs="Arial"/>
                <w:sz w:val="20"/>
                <w:szCs w:val="20"/>
              </w:rPr>
              <w:t xml:space="preserve">(loss) </w:t>
            </w:r>
            <w:r w:rsidRPr="00B05A0C">
              <w:rPr>
                <w:rFonts w:ascii="Arial" w:hAnsi="Arial" w:cs="Arial"/>
                <w:sz w:val="20"/>
                <w:szCs w:val="20"/>
              </w:rPr>
              <w:t>gain</w:t>
            </w:r>
          </w:p>
        </w:tc>
        <w:tc>
          <w:tcPr>
            <w:tcW w:w="2160" w:type="dxa"/>
            <w:tcBorders>
              <w:top w:val="nil"/>
              <w:left w:val="nil"/>
              <w:bottom w:val="single" w:sz="4" w:space="0" w:color="auto"/>
              <w:right w:val="nil"/>
            </w:tcBorders>
            <w:vAlign w:val="center"/>
          </w:tcPr>
          <w:p w14:paraId="04DE7F84" w14:textId="42F343AB" w:rsidR="00E53E22" w:rsidRPr="00B05A0C" w:rsidRDefault="00111318" w:rsidP="00FF031E">
            <w:pPr>
              <w:jc w:val="right"/>
              <w:rPr>
                <w:rFonts w:ascii="Arial" w:hAnsi="Arial" w:cs="Arial"/>
                <w:b/>
                <w:bCs/>
                <w:sz w:val="20"/>
                <w:szCs w:val="20"/>
              </w:rPr>
            </w:pPr>
            <w:r>
              <w:rPr>
                <w:rFonts w:ascii="Arial" w:hAnsi="Arial" w:cs="Arial"/>
                <w:b/>
                <w:bCs/>
                <w:sz w:val="20"/>
                <w:szCs w:val="20"/>
              </w:rPr>
              <w:t>(185)</w:t>
            </w:r>
          </w:p>
        </w:tc>
        <w:tc>
          <w:tcPr>
            <w:tcW w:w="2146" w:type="dxa"/>
            <w:tcBorders>
              <w:top w:val="nil"/>
              <w:left w:val="nil"/>
              <w:bottom w:val="single" w:sz="4" w:space="0" w:color="auto"/>
            </w:tcBorders>
            <w:vAlign w:val="center"/>
          </w:tcPr>
          <w:p w14:paraId="66CE8BD8" w14:textId="6A21ACEF" w:rsidR="00E53E22" w:rsidRPr="00B05A0C" w:rsidRDefault="00111318" w:rsidP="00FF031E">
            <w:pPr>
              <w:jc w:val="right"/>
              <w:rPr>
                <w:rFonts w:ascii="Arial" w:hAnsi="Arial" w:cs="Arial"/>
                <w:sz w:val="20"/>
                <w:szCs w:val="20"/>
              </w:rPr>
            </w:pPr>
            <w:r>
              <w:rPr>
                <w:rFonts w:ascii="Arial" w:hAnsi="Arial" w:cs="Arial"/>
                <w:sz w:val="20"/>
                <w:szCs w:val="20"/>
              </w:rPr>
              <w:t>18</w:t>
            </w:r>
          </w:p>
        </w:tc>
      </w:tr>
      <w:tr w:rsidR="00E53E22" w:rsidRPr="00B05A0C" w14:paraId="40B0980B" w14:textId="77777777" w:rsidTr="00E53E22">
        <w:tc>
          <w:tcPr>
            <w:tcW w:w="6210" w:type="dxa"/>
            <w:tcBorders>
              <w:top w:val="single" w:sz="4" w:space="0" w:color="auto"/>
              <w:bottom w:val="nil"/>
              <w:right w:val="nil"/>
            </w:tcBorders>
            <w:vAlign w:val="bottom"/>
          </w:tcPr>
          <w:p w14:paraId="1EE1925C" w14:textId="77777777" w:rsidR="00E53E22" w:rsidRPr="00B05A0C" w:rsidRDefault="00E53E22" w:rsidP="00FF031E">
            <w:pPr>
              <w:rPr>
                <w:rFonts w:ascii="Arial" w:hAnsi="Arial" w:cs="Arial"/>
                <w:b/>
                <w:sz w:val="20"/>
                <w:szCs w:val="20"/>
              </w:rPr>
            </w:pPr>
            <w:r w:rsidRPr="00B05A0C">
              <w:rPr>
                <w:rFonts w:ascii="Arial" w:hAnsi="Arial" w:cs="Arial"/>
                <w:b/>
                <w:sz w:val="20"/>
                <w:szCs w:val="20"/>
              </w:rPr>
              <w:t>Net loss for the period for continuing operations</w:t>
            </w:r>
          </w:p>
        </w:tc>
        <w:tc>
          <w:tcPr>
            <w:tcW w:w="2160" w:type="dxa"/>
            <w:tcBorders>
              <w:top w:val="single" w:sz="4" w:space="0" w:color="auto"/>
              <w:left w:val="nil"/>
              <w:bottom w:val="nil"/>
              <w:right w:val="nil"/>
            </w:tcBorders>
            <w:vAlign w:val="bottom"/>
          </w:tcPr>
          <w:p w14:paraId="4EB89176" w14:textId="5C66B4E2"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w:t>
            </w:r>
            <w:r w:rsidR="00111318">
              <w:rPr>
                <w:rFonts w:ascii="Arial" w:hAnsi="Arial" w:cs="Arial"/>
                <w:b/>
                <w:bCs/>
                <w:sz w:val="20"/>
                <w:szCs w:val="20"/>
              </w:rPr>
              <w:t>4,559</w:t>
            </w:r>
            <w:r w:rsidRPr="00B05A0C">
              <w:rPr>
                <w:rFonts w:ascii="Arial" w:hAnsi="Arial" w:cs="Arial"/>
                <w:b/>
                <w:bCs/>
                <w:sz w:val="20"/>
                <w:szCs w:val="20"/>
              </w:rPr>
              <w:t>)</w:t>
            </w:r>
          </w:p>
        </w:tc>
        <w:tc>
          <w:tcPr>
            <w:tcW w:w="2146" w:type="dxa"/>
            <w:tcBorders>
              <w:top w:val="single" w:sz="4" w:space="0" w:color="auto"/>
              <w:left w:val="nil"/>
              <w:bottom w:val="nil"/>
            </w:tcBorders>
            <w:vAlign w:val="bottom"/>
          </w:tcPr>
          <w:p w14:paraId="19B144FF" w14:textId="5D16758C" w:rsidR="00E53E22" w:rsidRPr="00B05A0C" w:rsidRDefault="00E53E22" w:rsidP="00FF031E">
            <w:pPr>
              <w:jc w:val="right"/>
              <w:rPr>
                <w:rFonts w:ascii="Arial" w:hAnsi="Arial" w:cs="Arial"/>
                <w:sz w:val="20"/>
                <w:szCs w:val="20"/>
              </w:rPr>
            </w:pPr>
            <w:r w:rsidRPr="00B05A0C">
              <w:rPr>
                <w:rFonts w:ascii="Arial" w:hAnsi="Arial" w:cs="Arial"/>
                <w:sz w:val="20"/>
                <w:szCs w:val="20"/>
              </w:rPr>
              <w:t>(</w:t>
            </w:r>
            <w:r w:rsidR="00E12249" w:rsidRPr="00B05A0C">
              <w:rPr>
                <w:rFonts w:ascii="Arial" w:hAnsi="Arial" w:cs="Arial"/>
                <w:sz w:val="20"/>
                <w:szCs w:val="20"/>
              </w:rPr>
              <w:t>1,</w:t>
            </w:r>
            <w:r w:rsidR="00111318">
              <w:rPr>
                <w:rFonts w:ascii="Arial" w:hAnsi="Arial" w:cs="Arial"/>
                <w:sz w:val="20"/>
                <w:szCs w:val="20"/>
              </w:rPr>
              <w:t>066</w:t>
            </w:r>
            <w:r w:rsidRPr="00B05A0C">
              <w:rPr>
                <w:rFonts w:ascii="Arial" w:hAnsi="Arial" w:cs="Arial"/>
                <w:sz w:val="20"/>
                <w:szCs w:val="20"/>
              </w:rPr>
              <w:t>)</w:t>
            </w:r>
          </w:p>
        </w:tc>
      </w:tr>
      <w:tr w:rsidR="00E53E22" w:rsidRPr="00B05A0C" w14:paraId="715EEA7B" w14:textId="77777777" w:rsidTr="00E53E22">
        <w:tc>
          <w:tcPr>
            <w:tcW w:w="6210" w:type="dxa"/>
            <w:tcBorders>
              <w:top w:val="nil"/>
              <w:bottom w:val="single" w:sz="12" w:space="0" w:color="auto"/>
              <w:right w:val="nil"/>
            </w:tcBorders>
            <w:vAlign w:val="bottom"/>
          </w:tcPr>
          <w:p w14:paraId="51C5BAAE" w14:textId="77777777" w:rsidR="00E53E22" w:rsidRPr="00B05A0C" w:rsidRDefault="00E53E22" w:rsidP="00FF031E">
            <w:pPr>
              <w:rPr>
                <w:rFonts w:ascii="Arial" w:hAnsi="Arial" w:cs="Arial"/>
                <w:sz w:val="20"/>
                <w:szCs w:val="20"/>
              </w:rPr>
            </w:pPr>
            <w:r w:rsidRPr="00B05A0C">
              <w:rPr>
                <w:rFonts w:ascii="Arial" w:hAnsi="Arial" w:cs="Arial"/>
                <w:sz w:val="20"/>
                <w:szCs w:val="20"/>
              </w:rPr>
              <w:t>Income (loss) from discontinued operations</w:t>
            </w:r>
          </w:p>
        </w:tc>
        <w:tc>
          <w:tcPr>
            <w:tcW w:w="2160" w:type="dxa"/>
            <w:tcBorders>
              <w:top w:val="nil"/>
              <w:left w:val="nil"/>
              <w:bottom w:val="single" w:sz="12" w:space="0" w:color="auto"/>
              <w:right w:val="nil"/>
            </w:tcBorders>
            <w:vAlign w:val="bottom"/>
          </w:tcPr>
          <w:p w14:paraId="29979980" w14:textId="48752048" w:rsidR="00E53E22" w:rsidRPr="00B05A0C" w:rsidRDefault="00D80035" w:rsidP="00D80035">
            <w:pPr>
              <w:jc w:val="center"/>
              <w:rPr>
                <w:rFonts w:ascii="Arial" w:hAnsi="Arial" w:cs="Arial"/>
                <w:b/>
                <w:bCs/>
                <w:sz w:val="20"/>
                <w:szCs w:val="20"/>
              </w:rPr>
            </w:pPr>
            <w:r>
              <w:rPr>
                <w:rFonts w:ascii="Arial" w:hAnsi="Arial" w:cs="Arial"/>
                <w:b/>
                <w:bCs/>
                <w:sz w:val="20"/>
                <w:szCs w:val="20"/>
              </w:rPr>
              <w:t xml:space="preserve">                            </w:t>
            </w:r>
            <w:r w:rsidR="00111318">
              <w:rPr>
                <w:rFonts w:ascii="Arial" w:hAnsi="Arial" w:cs="Arial"/>
                <w:b/>
                <w:bCs/>
                <w:sz w:val="20"/>
                <w:szCs w:val="20"/>
              </w:rPr>
              <w:t>16</w:t>
            </w:r>
          </w:p>
        </w:tc>
        <w:tc>
          <w:tcPr>
            <w:tcW w:w="2146" w:type="dxa"/>
            <w:tcBorders>
              <w:top w:val="nil"/>
              <w:left w:val="nil"/>
              <w:bottom w:val="single" w:sz="12" w:space="0" w:color="auto"/>
            </w:tcBorders>
            <w:vAlign w:val="bottom"/>
          </w:tcPr>
          <w:p w14:paraId="37E899BE" w14:textId="591B0377" w:rsidR="00E53E22" w:rsidRPr="00B05A0C" w:rsidRDefault="00D80035" w:rsidP="00D80035">
            <w:pPr>
              <w:jc w:val="center"/>
              <w:rPr>
                <w:rFonts w:ascii="Arial" w:hAnsi="Arial" w:cs="Arial"/>
                <w:sz w:val="20"/>
                <w:szCs w:val="20"/>
              </w:rPr>
            </w:pPr>
            <w:r>
              <w:rPr>
                <w:rFonts w:ascii="Arial" w:hAnsi="Arial" w:cs="Arial"/>
                <w:sz w:val="20"/>
                <w:szCs w:val="20"/>
              </w:rPr>
              <w:t xml:space="preserve">                         </w:t>
            </w:r>
            <w:r w:rsidR="00111318">
              <w:rPr>
                <w:rFonts w:ascii="Arial" w:hAnsi="Arial" w:cs="Arial"/>
                <w:sz w:val="20"/>
                <w:szCs w:val="20"/>
              </w:rPr>
              <w:t>2,936</w:t>
            </w:r>
          </w:p>
        </w:tc>
      </w:tr>
      <w:tr w:rsidR="00E53E22" w:rsidRPr="00B05A0C" w14:paraId="567D60EE" w14:textId="77777777" w:rsidTr="00E53E22">
        <w:tc>
          <w:tcPr>
            <w:tcW w:w="6210" w:type="dxa"/>
            <w:tcBorders>
              <w:top w:val="single" w:sz="12" w:space="0" w:color="auto"/>
              <w:bottom w:val="nil"/>
              <w:right w:val="nil"/>
            </w:tcBorders>
            <w:vAlign w:val="bottom"/>
          </w:tcPr>
          <w:p w14:paraId="6156766E" w14:textId="77777777" w:rsidR="00E53E22" w:rsidRPr="00B05A0C" w:rsidRDefault="00E53E22" w:rsidP="00FF031E">
            <w:pPr>
              <w:pStyle w:val="TableParagraph"/>
              <w:spacing w:before="112"/>
              <w:rPr>
                <w:b/>
                <w:sz w:val="20"/>
                <w:szCs w:val="20"/>
              </w:rPr>
            </w:pPr>
            <w:r w:rsidRPr="00B05A0C">
              <w:rPr>
                <w:b/>
                <w:sz w:val="20"/>
                <w:szCs w:val="20"/>
              </w:rPr>
              <w:t>Net income (loss) for the period</w:t>
            </w:r>
          </w:p>
        </w:tc>
        <w:tc>
          <w:tcPr>
            <w:tcW w:w="2160" w:type="dxa"/>
            <w:tcBorders>
              <w:top w:val="single" w:sz="12" w:space="0" w:color="auto"/>
              <w:left w:val="nil"/>
              <w:bottom w:val="nil"/>
              <w:right w:val="nil"/>
            </w:tcBorders>
            <w:vAlign w:val="bottom"/>
          </w:tcPr>
          <w:p w14:paraId="4D0A3CA4" w14:textId="55FFC2EF" w:rsidR="00E53E22" w:rsidRPr="00B05A0C" w:rsidRDefault="00D80035" w:rsidP="00FF031E">
            <w:pPr>
              <w:jc w:val="right"/>
              <w:rPr>
                <w:rFonts w:ascii="Arial" w:hAnsi="Arial" w:cs="Arial"/>
                <w:b/>
                <w:bCs/>
                <w:sz w:val="20"/>
                <w:szCs w:val="20"/>
              </w:rPr>
            </w:pPr>
            <w:r>
              <w:rPr>
                <w:rFonts w:ascii="Arial" w:hAnsi="Arial" w:cs="Arial"/>
                <w:b/>
                <w:bCs/>
                <w:sz w:val="20"/>
                <w:szCs w:val="20"/>
              </w:rPr>
              <w:t>(4,543)</w:t>
            </w:r>
          </w:p>
        </w:tc>
        <w:tc>
          <w:tcPr>
            <w:tcW w:w="2146" w:type="dxa"/>
            <w:tcBorders>
              <w:top w:val="single" w:sz="12" w:space="0" w:color="auto"/>
              <w:left w:val="nil"/>
              <w:bottom w:val="nil"/>
            </w:tcBorders>
            <w:vAlign w:val="bottom"/>
          </w:tcPr>
          <w:p w14:paraId="1CC541E3" w14:textId="26A0E3F1" w:rsidR="00E53E22" w:rsidRPr="00B05A0C" w:rsidRDefault="00D80035" w:rsidP="00FF031E">
            <w:pPr>
              <w:jc w:val="right"/>
              <w:rPr>
                <w:rFonts w:ascii="Arial" w:hAnsi="Arial" w:cs="Arial"/>
                <w:sz w:val="20"/>
                <w:szCs w:val="20"/>
              </w:rPr>
            </w:pPr>
            <w:r>
              <w:rPr>
                <w:rFonts w:ascii="Arial" w:hAnsi="Arial" w:cs="Arial"/>
                <w:sz w:val="20"/>
                <w:szCs w:val="20"/>
              </w:rPr>
              <w:t>1,870</w:t>
            </w:r>
          </w:p>
        </w:tc>
      </w:tr>
      <w:tr w:rsidR="00E53E22" w:rsidRPr="00B05A0C" w14:paraId="7CFA397D" w14:textId="77777777" w:rsidTr="00E53E22">
        <w:tc>
          <w:tcPr>
            <w:tcW w:w="6210" w:type="dxa"/>
            <w:tcBorders>
              <w:top w:val="nil"/>
              <w:bottom w:val="nil"/>
              <w:right w:val="nil"/>
            </w:tcBorders>
            <w:vAlign w:val="bottom"/>
          </w:tcPr>
          <w:p w14:paraId="22FC5E88" w14:textId="6C711D50" w:rsidR="00E53E22" w:rsidRPr="00B05A0C" w:rsidRDefault="00E53E22" w:rsidP="00FF031E">
            <w:pPr>
              <w:rPr>
                <w:rFonts w:ascii="Arial" w:hAnsi="Arial" w:cs="Arial"/>
                <w:sz w:val="20"/>
                <w:szCs w:val="20"/>
              </w:rPr>
            </w:pPr>
            <w:r w:rsidRPr="00B05A0C">
              <w:rPr>
                <w:rFonts w:ascii="Arial" w:hAnsi="Arial" w:cs="Arial"/>
                <w:sz w:val="20"/>
                <w:szCs w:val="20"/>
              </w:rPr>
              <w:t xml:space="preserve">Item which may be subsequently reclassified to </w:t>
            </w:r>
            <w:r w:rsidR="009A1F7D">
              <w:rPr>
                <w:rFonts w:ascii="Arial" w:hAnsi="Arial" w:cs="Arial"/>
                <w:sz w:val="20"/>
                <w:szCs w:val="20"/>
              </w:rPr>
              <w:t>income (</w:t>
            </w:r>
            <w:r w:rsidRPr="00B05A0C">
              <w:rPr>
                <w:rFonts w:ascii="Arial" w:hAnsi="Arial" w:cs="Arial"/>
                <w:sz w:val="20"/>
                <w:szCs w:val="20"/>
              </w:rPr>
              <w:t>loss</w:t>
            </w:r>
            <w:r w:rsidR="009A1F7D">
              <w:rPr>
                <w:rFonts w:ascii="Arial" w:hAnsi="Arial" w:cs="Arial"/>
                <w:sz w:val="20"/>
                <w:szCs w:val="20"/>
              </w:rPr>
              <w:t>)</w:t>
            </w:r>
            <w:r w:rsidRPr="00B05A0C">
              <w:rPr>
                <w:rFonts w:ascii="Arial" w:hAnsi="Arial" w:cs="Arial"/>
                <w:sz w:val="20"/>
                <w:szCs w:val="20"/>
              </w:rPr>
              <w:t xml:space="preserve">: </w:t>
            </w:r>
          </w:p>
        </w:tc>
        <w:tc>
          <w:tcPr>
            <w:tcW w:w="2160" w:type="dxa"/>
            <w:tcBorders>
              <w:top w:val="nil"/>
              <w:left w:val="nil"/>
              <w:bottom w:val="nil"/>
              <w:right w:val="nil"/>
            </w:tcBorders>
            <w:vAlign w:val="bottom"/>
          </w:tcPr>
          <w:p w14:paraId="46C3599A" w14:textId="77777777" w:rsidR="00E53E22" w:rsidRPr="00B05A0C" w:rsidRDefault="00E53E22" w:rsidP="00FF031E">
            <w:pPr>
              <w:jc w:val="right"/>
              <w:rPr>
                <w:rFonts w:ascii="Arial" w:hAnsi="Arial" w:cs="Arial"/>
                <w:b/>
                <w:bCs/>
                <w:sz w:val="20"/>
                <w:szCs w:val="20"/>
              </w:rPr>
            </w:pPr>
          </w:p>
        </w:tc>
        <w:tc>
          <w:tcPr>
            <w:tcW w:w="2146" w:type="dxa"/>
            <w:tcBorders>
              <w:top w:val="nil"/>
              <w:left w:val="nil"/>
              <w:bottom w:val="nil"/>
            </w:tcBorders>
            <w:vAlign w:val="bottom"/>
          </w:tcPr>
          <w:p w14:paraId="4F514CC0" w14:textId="77777777" w:rsidR="00E53E22" w:rsidRPr="00B05A0C" w:rsidRDefault="00E53E22" w:rsidP="00FF031E">
            <w:pPr>
              <w:jc w:val="right"/>
              <w:rPr>
                <w:rFonts w:ascii="Arial" w:hAnsi="Arial" w:cs="Arial"/>
                <w:sz w:val="20"/>
                <w:szCs w:val="20"/>
              </w:rPr>
            </w:pPr>
          </w:p>
        </w:tc>
      </w:tr>
      <w:tr w:rsidR="00E53E22" w:rsidRPr="00B05A0C" w14:paraId="5FEDFB6C" w14:textId="77777777" w:rsidTr="00E53E22">
        <w:tc>
          <w:tcPr>
            <w:tcW w:w="6210" w:type="dxa"/>
            <w:tcBorders>
              <w:top w:val="nil"/>
              <w:bottom w:val="single" w:sz="4" w:space="0" w:color="auto"/>
              <w:right w:val="nil"/>
            </w:tcBorders>
            <w:vAlign w:val="bottom"/>
          </w:tcPr>
          <w:p w14:paraId="267C6526"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Cumulative translation adjustment</w:t>
            </w:r>
          </w:p>
        </w:tc>
        <w:tc>
          <w:tcPr>
            <w:tcW w:w="2160" w:type="dxa"/>
            <w:tcBorders>
              <w:top w:val="nil"/>
              <w:left w:val="nil"/>
              <w:bottom w:val="single" w:sz="4" w:space="0" w:color="auto"/>
              <w:right w:val="nil"/>
            </w:tcBorders>
            <w:vAlign w:val="bottom"/>
          </w:tcPr>
          <w:p w14:paraId="0D413CA6" w14:textId="22FA3BD6" w:rsidR="00E53E22" w:rsidRPr="00B05A0C" w:rsidRDefault="00D80035" w:rsidP="00FF031E">
            <w:pPr>
              <w:jc w:val="right"/>
              <w:rPr>
                <w:rFonts w:ascii="Arial" w:hAnsi="Arial" w:cs="Arial"/>
                <w:b/>
                <w:bCs/>
                <w:sz w:val="20"/>
                <w:szCs w:val="20"/>
              </w:rPr>
            </w:pPr>
            <w:r>
              <w:rPr>
                <w:rFonts w:ascii="Arial" w:hAnsi="Arial" w:cs="Arial"/>
                <w:b/>
                <w:bCs/>
                <w:sz w:val="20"/>
                <w:szCs w:val="20"/>
              </w:rPr>
              <w:t>714</w:t>
            </w:r>
          </w:p>
        </w:tc>
        <w:tc>
          <w:tcPr>
            <w:tcW w:w="2146" w:type="dxa"/>
            <w:tcBorders>
              <w:top w:val="nil"/>
              <w:left w:val="nil"/>
              <w:bottom w:val="single" w:sz="4" w:space="0" w:color="auto"/>
            </w:tcBorders>
            <w:vAlign w:val="bottom"/>
          </w:tcPr>
          <w:p w14:paraId="1AC0579E" w14:textId="6CCD849D" w:rsidR="00E53E22" w:rsidRPr="00B05A0C" w:rsidRDefault="00D80035" w:rsidP="00FF031E">
            <w:pPr>
              <w:jc w:val="right"/>
              <w:rPr>
                <w:rFonts w:ascii="Arial" w:hAnsi="Arial" w:cs="Arial"/>
                <w:sz w:val="20"/>
                <w:szCs w:val="20"/>
              </w:rPr>
            </w:pPr>
            <w:r>
              <w:rPr>
                <w:rFonts w:ascii="Arial" w:hAnsi="Arial" w:cs="Arial"/>
                <w:sz w:val="20"/>
                <w:szCs w:val="20"/>
              </w:rPr>
              <w:t>(680)</w:t>
            </w:r>
          </w:p>
        </w:tc>
      </w:tr>
      <w:tr w:rsidR="00E53E22" w:rsidRPr="00B05A0C" w14:paraId="7631045B" w14:textId="77777777" w:rsidTr="00E53E22">
        <w:tc>
          <w:tcPr>
            <w:tcW w:w="6210" w:type="dxa"/>
            <w:tcBorders>
              <w:top w:val="single" w:sz="4" w:space="0" w:color="auto"/>
              <w:bottom w:val="single" w:sz="12" w:space="0" w:color="auto"/>
              <w:right w:val="nil"/>
            </w:tcBorders>
            <w:vAlign w:val="bottom"/>
          </w:tcPr>
          <w:p w14:paraId="47D352D3" w14:textId="77777777" w:rsidR="00E53E22" w:rsidRPr="00B05A0C" w:rsidRDefault="00E53E22" w:rsidP="00FF031E">
            <w:pPr>
              <w:rPr>
                <w:rFonts w:ascii="Arial" w:hAnsi="Arial" w:cs="Arial"/>
                <w:sz w:val="20"/>
                <w:szCs w:val="20"/>
              </w:rPr>
            </w:pPr>
            <w:r w:rsidRPr="00B05A0C">
              <w:rPr>
                <w:rFonts w:ascii="Arial" w:hAnsi="Arial" w:cs="Arial"/>
                <w:b/>
                <w:sz w:val="20"/>
                <w:szCs w:val="20"/>
              </w:rPr>
              <w:t>Total comprehensive income (loss) for the period</w:t>
            </w:r>
          </w:p>
        </w:tc>
        <w:tc>
          <w:tcPr>
            <w:tcW w:w="2160" w:type="dxa"/>
            <w:tcBorders>
              <w:top w:val="single" w:sz="4" w:space="0" w:color="auto"/>
              <w:left w:val="nil"/>
              <w:bottom w:val="single" w:sz="12" w:space="0" w:color="auto"/>
              <w:right w:val="nil"/>
            </w:tcBorders>
            <w:vAlign w:val="bottom"/>
          </w:tcPr>
          <w:p w14:paraId="111D3468" w14:textId="3216584C" w:rsidR="00E53E22" w:rsidRPr="00B05A0C" w:rsidRDefault="00D80035" w:rsidP="00FF031E">
            <w:pPr>
              <w:jc w:val="right"/>
              <w:rPr>
                <w:rFonts w:ascii="Arial" w:hAnsi="Arial" w:cs="Arial"/>
                <w:b/>
                <w:bCs/>
                <w:sz w:val="20"/>
                <w:szCs w:val="20"/>
              </w:rPr>
            </w:pPr>
            <w:r>
              <w:rPr>
                <w:rFonts w:ascii="Arial" w:hAnsi="Arial" w:cs="Arial"/>
                <w:b/>
                <w:bCs/>
                <w:sz w:val="20"/>
                <w:szCs w:val="20"/>
              </w:rPr>
              <w:t>(3,829)</w:t>
            </w:r>
          </w:p>
        </w:tc>
        <w:tc>
          <w:tcPr>
            <w:tcW w:w="2146" w:type="dxa"/>
            <w:tcBorders>
              <w:top w:val="single" w:sz="4" w:space="0" w:color="auto"/>
              <w:left w:val="nil"/>
              <w:bottom w:val="single" w:sz="12" w:space="0" w:color="auto"/>
            </w:tcBorders>
            <w:vAlign w:val="bottom"/>
          </w:tcPr>
          <w:p w14:paraId="287045C3" w14:textId="47E13C21" w:rsidR="00E53E22" w:rsidRPr="00B05A0C" w:rsidRDefault="00D80035" w:rsidP="00FF031E">
            <w:pPr>
              <w:jc w:val="right"/>
              <w:rPr>
                <w:rFonts w:ascii="Arial" w:hAnsi="Arial" w:cs="Arial"/>
                <w:sz w:val="20"/>
                <w:szCs w:val="20"/>
              </w:rPr>
            </w:pPr>
            <w:r>
              <w:rPr>
                <w:rFonts w:ascii="Arial" w:hAnsi="Arial" w:cs="Arial"/>
                <w:sz w:val="20"/>
                <w:szCs w:val="20"/>
              </w:rPr>
              <w:t>1,190</w:t>
            </w:r>
          </w:p>
        </w:tc>
      </w:tr>
      <w:tr w:rsidR="00E53E22" w:rsidRPr="00B05A0C" w14:paraId="2DEDC984" w14:textId="77777777" w:rsidTr="00E53E22">
        <w:tc>
          <w:tcPr>
            <w:tcW w:w="6210" w:type="dxa"/>
            <w:tcBorders>
              <w:top w:val="single" w:sz="12" w:space="0" w:color="auto"/>
              <w:bottom w:val="nil"/>
              <w:right w:val="nil"/>
            </w:tcBorders>
            <w:vAlign w:val="bottom"/>
          </w:tcPr>
          <w:p w14:paraId="518111F1" w14:textId="77777777" w:rsidR="00E53E22" w:rsidRPr="00B05A0C" w:rsidRDefault="00E53E22" w:rsidP="00FF031E">
            <w:pPr>
              <w:rPr>
                <w:rFonts w:ascii="Arial" w:hAnsi="Arial" w:cs="Arial"/>
                <w:sz w:val="20"/>
                <w:szCs w:val="20"/>
              </w:rPr>
            </w:pPr>
          </w:p>
        </w:tc>
        <w:tc>
          <w:tcPr>
            <w:tcW w:w="2160" w:type="dxa"/>
            <w:tcBorders>
              <w:top w:val="single" w:sz="12" w:space="0" w:color="auto"/>
              <w:left w:val="nil"/>
              <w:bottom w:val="nil"/>
              <w:right w:val="nil"/>
            </w:tcBorders>
            <w:vAlign w:val="center"/>
          </w:tcPr>
          <w:p w14:paraId="5F9A2031" w14:textId="77777777" w:rsidR="00E53E22" w:rsidRPr="00B05A0C" w:rsidRDefault="00E53E22" w:rsidP="00FF031E">
            <w:pPr>
              <w:jc w:val="right"/>
              <w:rPr>
                <w:rFonts w:ascii="Arial" w:hAnsi="Arial" w:cs="Arial"/>
                <w:b/>
                <w:bCs/>
                <w:sz w:val="20"/>
                <w:szCs w:val="20"/>
              </w:rPr>
            </w:pPr>
          </w:p>
        </w:tc>
        <w:tc>
          <w:tcPr>
            <w:tcW w:w="2146" w:type="dxa"/>
            <w:tcBorders>
              <w:top w:val="single" w:sz="12" w:space="0" w:color="auto"/>
              <w:left w:val="nil"/>
              <w:bottom w:val="nil"/>
            </w:tcBorders>
            <w:vAlign w:val="center"/>
          </w:tcPr>
          <w:p w14:paraId="36D1E93E" w14:textId="77777777" w:rsidR="00E53E22" w:rsidRPr="00B05A0C" w:rsidRDefault="00E53E22" w:rsidP="00FF031E">
            <w:pPr>
              <w:jc w:val="right"/>
              <w:rPr>
                <w:rFonts w:ascii="Arial" w:hAnsi="Arial" w:cs="Arial"/>
                <w:sz w:val="20"/>
                <w:szCs w:val="20"/>
              </w:rPr>
            </w:pPr>
          </w:p>
        </w:tc>
      </w:tr>
      <w:tr w:rsidR="00E53E22" w:rsidRPr="00B05A0C" w14:paraId="6ADBCD5C" w14:textId="77777777" w:rsidTr="00E53E22">
        <w:tc>
          <w:tcPr>
            <w:tcW w:w="6210" w:type="dxa"/>
            <w:tcBorders>
              <w:top w:val="nil"/>
              <w:bottom w:val="nil"/>
              <w:right w:val="nil"/>
            </w:tcBorders>
            <w:vAlign w:val="bottom"/>
          </w:tcPr>
          <w:p w14:paraId="16588634" w14:textId="77777777" w:rsidR="00E53E22" w:rsidRPr="00B05A0C" w:rsidRDefault="00E53E22" w:rsidP="00FF031E">
            <w:pPr>
              <w:pStyle w:val="TableParagraph"/>
              <w:spacing w:before="16"/>
              <w:rPr>
                <w:b/>
                <w:sz w:val="20"/>
                <w:szCs w:val="20"/>
              </w:rPr>
            </w:pPr>
            <w:r w:rsidRPr="00B05A0C">
              <w:rPr>
                <w:b/>
                <w:sz w:val="20"/>
                <w:szCs w:val="20"/>
              </w:rPr>
              <w:t>Basic and diluted net income (loss) per share for</w:t>
            </w:r>
          </w:p>
        </w:tc>
        <w:tc>
          <w:tcPr>
            <w:tcW w:w="2160" w:type="dxa"/>
            <w:tcBorders>
              <w:top w:val="nil"/>
              <w:left w:val="nil"/>
              <w:bottom w:val="nil"/>
              <w:right w:val="nil"/>
            </w:tcBorders>
            <w:vAlign w:val="center"/>
          </w:tcPr>
          <w:p w14:paraId="5D2123AC" w14:textId="77777777" w:rsidR="00E53E22" w:rsidRPr="00B05A0C" w:rsidRDefault="00E53E22" w:rsidP="00FF031E">
            <w:pPr>
              <w:jc w:val="right"/>
              <w:rPr>
                <w:rFonts w:ascii="Arial" w:hAnsi="Arial" w:cs="Arial"/>
                <w:b/>
                <w:bCs/>
                <w:sz w:val="20"/>
                <w:szCs w:val="20"/>
              </w:rPr>
            </w:pPr>
          </w:p>
        </w:tc>
        <w:tc>
          <w:tcPr>
            <w:tcW w:w="2146" w:type="dxa"/>
            <w:tcBorders>
              <w:top w:val="nil"/>
              <w:left w:val="nil"/>
              <w:bottom w:val="nil"/>
            </w:tcBorders>
            <w:vAlign w:val="center"/>
          </w:tcPr>
          <w:p w14:paraId="5B6272D2" w14:textId="77777777" w:rsidR="00E53E22" w:rsidRPr="00B05A0C" w:rsidRDefault="00E53E22" w:rsidP="00FF031E">
            <w:pPr>
              <w:jc w:val="right"/>
              <w:rPr>
                <w:rFonts w:ascii="Arial" w:hAnsi="Arial" w:cs="Arial"/>
                <w:sz w:val="20"/>
                <w:szCs w:val="20"/>
              </w:rPr>
            </w:pPr>
          </w:p>
        </w:tc>
      </w:tr>
      <w:tr w:rsidR="00E53E22" w:rsidRPr="00B05A0C" w14:paraId="678BAB82" w14:textId="77777777" w:rsidTr="00E53E22">
        <w:tc>
          <w:tcPr>
            <w:tcW w:w="6210" w:type="dxa"/>
            <w:tcBorders>
              <w:top w:val="nil"/>
              <w:bottom w:val="nil"/>
              <w:right w:val="nil"/>
            </w:tcBorders>
            <w:vAlign w:val="bottom"/>
          </w:tcPr>
          <w:p w14:paraId="0D6231EB"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 continuing operations</w:t>
            </w:r>
          </w:p>
        </w:tc>
        <w:tc>
          <w:tcPr>
            <w:tcW w:w="2160" w:type="dxa"/>
            <w:tcBorders>
              <w:top w:val="nil"/>
              <w:left w:val="nil"/>
              <w:bottom w:val="nil"/>
              <w:right w:val="nil"/>
            </w:tcBorders>
            <w:vAlign w:val="center"/>
          </w:tcPr>
          <w:p w14:paraId="0B21C2A4" w14:textId="148453B0" w:rsidR="00E53E22" w:rsidRPr="00B05A0C" w:rsidRDefault="00E53E22" w:rsidP="00FF031E">
            <w:pPr>
              <w:jc w:val="right"/>
              <w:rPr>
                <w:rFonts w:ascii="Arial" w:hAnsi="Arial" w:cs="Arial"/>
                <w:b/>
                <w:bCs/>
                <w:sz w:val="20"/>
                <w:szCs w:val="20"/>
              </w:rPr>
            </w:pPr>
            <w:r w:rsidRPr="00B05A0C">
              <w:rPr>
                <w:rFonts w:ascii="Arial" w:hAnsi="Arial" w:cs="Arial"/>
                <w:b/>
                <w:bCs/>
                <w:sz w:val="20"/>
                <w:szCs w:val="20"/>
              </w:rPr>
              <w:t>(0.0</w:t>
            </w:r>
            <w:r w:rsidR="00D80035">
              <w:rPr>
                <w:rFonts w:ascii="Arial" w:hAnsi="Arial" w:cs="Arial"/>
                <w:b/>
                <w:bCs/>
                <w:sz w:val="20"/>
                <w:szCs w:val="20"/>
              </w:rPr>
              <w:t>1</w:t>
            </w:r>
            <w:r w:rsidRPr="00B05A0C">
              <w:rPr>
                <w:rFonts w:ascii="Arial" w:hAnsi="Arial" w:cs="Arial"/>
                <w:b/>
                <w:bCs/>
                <w:sz w:val="20"/>
                <w:szCs w:val="20"/>
              </w:rPr>
              <w:t>)</w:t>
            </w:r>
          </w:p>
        </w:tc>
        <w:tc>
          <w:tcPr>
            <w:tcW w:w="2146" w:type="dxa"/>
            <w:tcBorders>
              <w:top w:val="nil"/>
              <w:left w:val="nil"/>
              <w:bottom w:val="nil"/>
            </w:tcBorders>
            <w:vAlign w:val="center"/>
          </w:tcPr>
          <w:p w14:paraId="2934BEE2" w14:textId="77777777" w:rsidR="00E53E22" w:rsidRPr="00B05A0C" w:rsidRDefault="00E53E22" w:rsidP="00FF031E">
            <w:pPr>
              <w:jc w:val="right"/>
              <w:rPr>
                <w:rFonts w:ascii="Arial" w:hAnsi="Arial" w:cs="Arial"/>
                <w:sz w:val="20"/>
                <w:szCs w:val="20"/>
              </w:rPr>
            </w:pPr>
            <w:r w:rsidRPr="00B05A0C">
              <w:rPr>
                <w:rFonts w:ascii="Arial" w:hAnsi="Arial" w:cs="Arial"/>
                <w:sz w:val="20"/>
                <w:szCs w:val="20"/>
              </w:rPr>
              <w:t>(0.00)</w:t>
            </w:r>
          </w:p>
        </w:tc>
      </w:tr>
      <w:tr w:rsidR="00E53E22" w:rsidRPr="00B05A0C" w14:paraId="52EA428C" w14:textId="77777777" w:rsidTr="00E53E22">
        <w:tc>
          <w:tcPr>
            <w:tcW w:w="6210" w:type="dxa"/>
            <w:tcBorders>
              <w:top w:val="nil"/>
              <w:bottom w:val="nil"/>
              <w:right w:val="nil"/>
            </w:tcBorders>
            <w:vAlign w:val="bottom"/>
          </w:tcPr>
          <w:p w14:paraId="743F7809" w14:textId="77777777" w:rsidR="00E53E22" w:rsidRPr="00B05A0C" w:rsidRDefault="00E53E22" w:rsidP="00FF031E">
            <w:pPr>
              <w:ind w:left="162"/>
              <w:rPr>
                <w:rFonts w:ascii="Arial" w:hAnsi="Arial" w:cs="Arial"/>
                <w:sz w:val="20"/>
                <w:szCs w:val="20"/>
              </w:rPr>
            </w:pPr>
            <w:r w:rsidRPr="00B05A0C">
              <w:rPr>
                <w:rFonts w:ascii="Arial" w:hAnsi="Arial" w:cs="Arial"/>
                <w:sz w:val="20"/>
                <w:szCs w:val="20"/>
              </w:rPr>
              <w:t>- discontinued operations</w:t>
            </w:r>
          </w:p>
        </w:tc>
        <w:tc>
          <w:tcPr>
            <w:tcW w:w="2160" w:type="dxa"/>
            <w:tcBorders>
              <w:top w:val="nil"/>
              <w:left w:val="nil"/>
              <w:bottom w:val="nil"/>
              <w:right w:val="nil"/>
            </w:tcBorders>
            <w:vAlign w:val="center"/>
          </w:tcPr>
          <w:p w14:paraId="41ECDAFE" w14:textId="15FD14A0" w:rsidR="00E53E22" w:rsidRPr="00B05A0C" w:rsidRDefault="007678AD" w:rsidP="007678AD">
            <w:pPr>
              <w:jc w:val="center"/>
              <w:rPr>
                <w:rFonts w:ascii="Arial" w:hAnsi="Arial" w:cs="Arial"/>
                <w:b/>
                <w:bCs/>
                <w:sz w:val="20"/>
                <w:szCs w:val="20"/>
              </w:rPr>
            </w:pPr>
            <w:r>
              <w:rPr>
                <w:rFonts w:ascii="Arial" w:hAnsi="Arial" w:cs="Arial"/>
                <w:b/>
                <w:bCs/>
                <w:sz w:val="20"/>
                <w:szCs w:val="20"/>
              </w:rPr>
              <w:t xml:space="preserve">                          </w:t>
            </w:r>
            <w:r w:rsidR="00E53E22" w:rsidRPr="00B05A0C">
              <w:rPr>
                <w:rFonts w:ascii="Arial" w:hAnsi="Arial" w:cs="Arial"/>
                <w:b/>
                <w:bCs/>
                <w:sz w:val="20"/>
                <w:szCs w:val="20"/>
              </w:rPr>
              <w:t>0.0</w:t>
            </w:r>
            <w:r w:rsidR="00D80035">
              <w:rPr>
                <w:rFonts w:ascii="Arial" w:hAnsi="Arial" w:cs="Arial"/>
                <w:b/>
                <w:bCs/>
                <w:sz w:val="20"/>
                <w:szCs w:val="20"/>
              </w:rPr>
              <w:t>0</w:t>
            </w:r>
          </w:p>
        </w:tc>
        <w:tc>
          <w:tcPr>
            <w:tcW w:w="2146" w:type="dxa"/>
            <w:tcBorders>
              <w:top w:val="nil"/>
              <w:left w:val="nil"/>
              <w:bottom w:val="nil"/>
            </w:tcBorders>
            <w:vAlign w:val="center"/>
          </w:tcPr>
          <w:p w14:paraId="369A2781" w14:textId="52D52D2A" w:rsidR="00E53E22" w:rsidRPr="00B05A0C" w:rsidRDefault="00E53E22" w:rsidP="00FF031E">
            <w:pPr>
              <w:jc w:val="center"/>
              <w:rPr>
                <w:rFonts w:ascii="Arial" w:hAnsi="Arial" w:cs="Arial"/>
                <w:sz w:val="20"/>
                <w:szCs w:val="20"/>
              </w:rPr>
            </w:pPr>
            <w:r w:rsidRPr="00B05A0C">
              <w:rPr>
                <w:rFonts w:ascii="Arial" w:hAnsi="Arial" w:cs="Arial"/>
                <w:sz w:val="20"/>
                <w:szCs w:val="20"/>
              </w:rPr>
              <w:t xml:space="preserve">                         0.0</w:t>
            </w:r>
            <w:r w:rsidR="00D80035">
              <w:rPr>
                <w:rFonts w:ascii="Arial" w:hAnsi="Arial" w:cs="Arial"/>
                <w:sz w:val="20"/>
                <w:szCs w:val="20"/>
              </w:rPr>
              <w:t>1</w:t>
            </w:r>
          </w:p>
        </w:tc>
      </w:tr>
      <w:tr w:rsidR="00E53E22" w:rsidRPr="00AD4033" w14:paraId="0C1B0F46" w14:textId="77777777" w:rsidTr="00E53E22">
        <w:tc>
          <w:tcPr>
            <w:tcW w:w="6210" w:type="dxa"/>
            <w:tcBorders>
              <w:top w:val="single" w:sz="4" w:space="0" w:color="auto"/>
              <w:bottom w:val="single" w:sz="12" w:space="0" w:color="auto"/>
              <w:right w:val="nil"/>
            </w:tcBorders>
          </w:tcPr>
          <w:p w14:paraId="0007E807" w14:textId="77777777" w:rsidR="00E53E22" w:rsidRPr="00B05A0C" w:rsidRDefault="00E53E22" w:rsidP="00FF031E">
            <w:pPr>
              <w:rPr>
                <w:rFonts w:ascii="Arial" w:hAnsi="Arial" w:cs="Arial"/>
                <w:b/>
                <w:bCs/>
                <w:sz w:val="20"/>
                <w:szCs w:val="20"/>
              </w:rPr>
            </w:pPr>
            <w:r w:rsidRPr="00B05A0C">
              <w:rPr>
                <w:rFonts w:ascii="Arial" w:hAnsi="Arial" w:cs="Arial"/>
                <w:b/>
                <w:bCs/>
                <w:sz w:val="20"/>
                <w:szCs w:val="20"/>
              </w:rPr>
              <w:t>Weighted average number of common shares outstanding</w:t>
            </w:r>
          </w:p>
        </w:tc>
        <w:tc>
          <w:tcPr>
            <w:tcW w:w="2160" w:type="dxa"/>
            <w:tcBorders>
              <w:top w:val="single" w:sz="4" w:space="0" w:color="auto"/>
              <w:left w:val="nil"/>
              <w:bottom w:val="single" w:sz="12" w:space="0" w:color="auto"/>
              <w:right w:val="nil"/>
            </w:tcBorders>
            <w:vAlign w:val="bottom"/>
          </w:tcPr>
          <w:p w14:paraId="4A5D0EFD" w14:textId="5A800751" w:rsidR="00E53E22" w:rsidRPr="00B05A0C" w:rsidRDefault="00D80035" w:rsidP="00FF031E">
            <w:pPr>
              <w:jc w:val="right"/>
              <w:rPr>
                <w:rFonts w:ascii="Arial" w:hAnsi="Arial" w:cs="Arial"/>
                <w:b/>
                <w:bCs/>
                <w:sz w:val="20"/>
                <w:szCs w:val="20"/>
              </w:rPr>
            </w:pPr>
            <w:r>
              <w:rPr>
                <w:rFonts w:ascii="Arial" w:hAnsi="Arial" w:cs="Arial"/>
                <w:b/>
                <w:bCs/>
                <w:sz w:val="20"/>
                <w:szCs w:val="20"/>
              </w:rPr>
              <w:t>339,688,019</w:t>
            </w:r>
          </w:p>
        </w:tc>
        <w:tc>
          <w:tcPr>
            <w:tcW w:w="2146" w:type="dxa"/>
            <w:tcBorders>
              <w:top w:val="single" w:sz="4" w:space="0" w:color="auto"/>
              <w:left w:val="nil"/>
              <w:bottom w:val="single" w:sz="12" w:space="0" w:color="auto"/>
            </w:tcBorders>
            <w:vAlign w:val="bottom"/>
          </w:tcPr>
          <w:p w14:paraId="6F14CD76" w14:textId="404CAA78" w:rsidR="00E53E22" w:rsidRPr="00B05A0C" w:rsidRDefault="00D80035" w:rsidP="00FF031E">
            <w:pPr>
              <w:jc w:val="right"/>
              <w:rPr>
                <w:rFonts w:ascii="Arial" w:hAnsi="Arial" w:cs="Arial"/>
                <w:sz w:val="20"/>
                <w:szCs w:val="20"/>
              </w:rPr>
            </w:pPr>
            <w:r>
              <w:rPr>
                <w:rFonts w:ascii="Arial" w:hAnsi="Arial" w:cs="Arial"/>
                <w:sz w:val="20"/>
                <w:szCs w:val="20"/>
              </w:rPr>
              <w:t>215,596,429</w:t>
            </w:r>
          </w:p>
        </w:tc>
      </w:tr>
    </w:tbl>
    <w:p w14:paraId="40DAABBA" w14:textId="77777777" w:rsidR="00E53E22" w:rsidRPr="00AD4033" w:rsidRDefault="00E53E22" w:rsidP="00E53E22">
      <w:pPr>
        <w:rPr>
          <w:rFonts w:ascii="Arial" w:hAnsi="Arial" w:cs="Arial"/>
          <w:sz w:val="20"/>
          <w:szCs w:val="20"/>
          <w:highlight w:val="yellow"/>
        </w:rPr>
      </w:pPr>
    </w:p>
    <w:p w14:paraId="1FFACCCC" w14:textId="77777777" w:rsidR="00E53E22" w:rsidRPr="00AD4033" w:rsidRDefault="00E53E22" w:rsidP="00E53E22">
      <w:pPr>
        <w:spacing w:after="160" w:line="259" w:lineRule="auto"/>
        <w:rPr>
          <w:rFonts w:ascii="Arial" w:hAnsi="Arial" w:cs="Arial"/>
          <w:sz w:val="20"/>
          <w:szCs w:val="20"/>
          <w:highlight w:val="yellow"/>
        </w:rPr>
      </w:pPr>
      <w:r w:rsidRPr="00AD4033">
        <w:rPr>
          <w:rFonts w:ascii="Arial" w:hAnsi="Arial" w:cs="Arial"/>
          <w:sz w:val="20"/>
          <w:szCs w:val="20"/>
          <w:highlight w:val="yellow"/>
        </w:rPr>
        <w:br w:type="page"/>
      </w:r>
    </w:p>
    <w:tbl>
      <w:tblPr>
        <w:tblStyle w:val="TableGrid"/>
        <w:tblW w:w="98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55"/>
        <w:gridCol w:w="1530"/>
        <w:gridCol w:w="1702"/>
        <w:gridCol w:w="13"/>
      </w:tblGrid>
      <w:tr w:rsidR="00E53E22" w:rsidRPr="00AD4033" w14:paraId="46769B89" w14:textId="77777777" w:rsidTr="00FF031E">
        <w:tc>
          <w:tcPr>
            <w:tcW w:w="9800" w:type="dxa"/>
            <w:gridSpan w:val="4"/>
            <w:tcBorders>
              <w:top w:val="single" w:sz="12" w:space="0" w:color="auto"/>
              <w:bottom w:val="nil"/>
            </w:tcBorders>
          </w:tcPr>
          <w:p w14:paraId="6C52FB11" w14:textId="77777777" w:rsidR="00E53E22" w:rsidRPr="00AB32AE" w:rsidRDefault="00E53E22" w:rsidP="00FF031E">
            <w:pPr>
              <w:rPr>
                <w:rFonts w:ascii="Arial" w:hAnsi="Arial" w:cs="Arial"/>
                <w:sz w:val="20"/>
                <w:szCs w:val="20"/>
              </w:rPr>
            </w:pPr>
            <w:r w:rsidRPr="00AB32AE">
              <w:rPr>
                <w:rFonts w:ascii="Arial" w:eastAsia="Arial" w:hAnsi="Arial" w:cs="Arial"/>
                <w:b/>
                <w:sz w:val="20"/>
              </w:rPr>
              <w:t>Condensed Interim Consolidated Statements of Cash Flows</w:t>
            </w:r>
          </w:p>
        </w:tc>
      </w:tr>
      <w:tr w:rsidR="00E53E22" w:rsidRPr="00AD4033" w14:paraId="26DA648C" w14:textId="77777777" w:rsidTr="00FF031E">
        <w:trPr>
          <w:gridAfter w:val="1"/>
          <w:wAfter w:w="13" w:type="dxa"/>
        </w:trPr>
        <w:tc>
          <w:tcPr>
            <w:tcW w:w="6555" w:type="dxa"/>
            <w:tcBorders>
              <w:top w:val="nil"/>
              <w:bottom w:val="nil"/>
              <w:right w:val="nil"/>
            </w:tcBorders>
          </w:tcPr>
          <w:p w14:paraId="4F39A106" w14:textId="77777777" w:rsidR="00E53E22" w:rsidRPr="00AB32AE" w:rsidRDefault="00E53E22" w:rsidP="00FF031E">
            <w:pPr>
              <w:pStyle w:val="TableParagraph"/>
              <w:spacing w:before="42"/>
              <w:rPr>
                <w:b/>
                <w:sz w:val="20"/>
                <w:szCs w:val="20"/>
              </w:rPr>
            </w:pPr>
            <w:r w:rsidRPr="00AB32AE">
              <w:rPr>
                <w:b/>
                <w:sz w:val="20"/>
                <w:szCs w:val="20"/>
              </w:rPr>
              <w:t>(Expressed in thousands of United States dollars)</w:t>
            </w:r>
          </w:p>
        </w:tc>
        <w:tc>
          <w:tcPr>
            <w:tcW w:w="1530" w:type="dxa"/>
            <w:tcBorders>
              <w:top w:val="nil"/>
              <w:left w:val="nil"/>
              <w:bottom w:val="nil"/>
              <w:right w:val="nil"/>
            </w:tcBorders>
          </w:tcPr>
          <w:p w14:paraId="70E33D3E" w14:textId="77777777" w:rsidR="00E53E22" w:rsidRPr="00AB32AE" w:rsidRDefault="00E53E22" w:rsidP="00FF031E">
            <w:pPr>
              <w:rPr>
                <w:rFonts w:ascii="Arial" w:hAnsi="Arial" w:cs="Arial"/>
                <w:sz w:val="20"/>
                <w:szCs w:val="20"/>
              </w:rPr>
            </w:pPr>
          </w:p>
        </w:tc>
        <w:tc>
          <w:tcPr>
            <w:tcW w:w="1702" w:type="dxa"/>
            <w:tcBorders>
              <w:top w:val="nil"/>
              <w:left w:val="nil"/>
              <w:bottom w:val="nil"/>
            </w:tcBorders>
          </w:tcPr>
          <w:p w14:paraId="58B15A19" w14:textId="77777777" w:rsidR="00E53E22" w:rsidRPr="00AB32AE" w:rsidRDefault="00E53E22" w:rsidP="00FF031E">
            <w:pPr>
              <w:rPr>
                <w:rFonts w:ascii="Arial" w:hAnsi="Arial" w:cs="Arial"/>
                <w:sz w:val="20"/>
                <w:szCs w:val="20"/>
              </w:rPr>
            </w:pPr>
          </w:p>
        </w:tc>
      </w:tr>
      <w:tr w:rsidR="00E53E22" w:rsidRPr="00AD4033" w14:paraId="38B201B4" w14:textId="77777777" w:rsidTr="00FF031E">
        <w:trPr>
          <w:gridAfter w:val="1"/>
          <w:wAfter w:w="13" w:type="dxa"/>
        </w:trPr>
        <w:tc>
          <w:tcPr>
            <w:tcW w:w="6555" w:type="dxa"/>
            <w:tcBorders>
              <w:top w:val="nil"/>
              <w:bottom w:val="single" w:sz="12" w:space="0" w:color="auto"/>
              <w:right w:val="nil"/>
            </w:tcBorders>
          </w:tcPr>
          <w:p w14:paraId="2350252E" w14:textId="77777777" w:rsidR="00E53E22" w:rsidRPr="00AB32AE" w:rsidRDefault="00E53E22" w:rsidP="00FF031E">
            <w:pPr>
              <w:pStyle w:val="TableParagraph"/>
              <w:spacing w:before="42"/>
              <w:rPr>
                <w:b/>
                <w:sz w:val="20"/>
                <w:szCs w:val="20"/>
              </w:rPr>
            </w:pPr>
            <w:r w:rsidRPr="00AB32AE">
              <w:rPr>
                <w:b/>
                <w:sz w:val="20"/>
                <w:szCs w:val="20"/>
              </w:rPr>
              <w:t>Unaudited</w:t>
            </w:r>
          </w:p>
        </w:tc>
        <w:tc>
          <w:tcPr>
            <w:tcW w:w="1530" w:type="dxa"/>
            <w:tcBorders>
              <w:top w:val="nil"/>
              <w:left w:val="nil"/>
              <w:bottom w:val="single" w:sz="12" w:space="0" w:color="auto"/>
              <w:right w:val="nil"/>
            </w:tcBorders>
            <w:vAlign w:val="center"/>
          </w:tcPr>
          <w:p w14:paraId="54AF12C7" w14:textId="1F565460" w:rsidR="00E53E22" w:rsidRPr="00AB32AE" w:rsidRDefault="00AB32AE" w:rsidP="00FF031E">
            <w:pPr>
              <w:jc w:val="center"/>
              <w:rPr>
                <w:rFonts w:ascii="Arial" w:hAnsi="Arial" w:cs="Arial"/>
                <w:b/>
                <w:bCs/>
                <w:sz w:val="20"/>
                <w:szCs w:val="20"/>
              </w:rPr>
            </w:pPr>
            <w:r>
              <w:rPr>
                <w:rFonts w:ascii="Arial" w:hAnsi="Arial" w:cs="Arial"/>
                <w:b/>
                <w:sz w:val="20"/>
                <w:szCs w:val="20"/>
              </w:rPr>
              <w:t>Six</w:t>
            </w:r>
            <w:r w:rsidR="00E53E22" w:rsidRPr="00AB32AE">
              <w:rPr>
                <w:rFonts w:ascii="Arial" w:hAnsi="Arial" w:cs="Arial"/>
                <w:b/>
                <w:sz w:val="20"/>
                <w:szCs w:val="20"/>
              </w:rPr>
              <w:t xml:space="preserve"> Months Ended</w:t>
            </w:r>
            <w:r w:rsidR="00E53E22" w:rsidRPr="00AB32AE">
              <w:rPr>
                <w:rFonts w:ascii="Arial" w:hAnsi="Arial" w:cs="Arial"/>
                <w:b/>
                <w:bCs/>
                <w:sz w:val="20"/>
                <w:szCs w:val="20"/>
              </w:rPr>
              <w:t xml:space="preserve"> </w:t>
            </w:r>
          </w:p>
          <w:p w14:paraId="5B70378E" w14:textId="4C525B93" w:rsidR="00E53E22" w:rsidRPr="00AB32AE" w:rsidRDefault="00AB32AE" w:rsidP="00FF031E">
            <w:pPr>
              <w:jc w:val="center"/>
              <w:rPr>
                <w:rFonts w:ascii="Arial" w:hAnsi="Arial" w:cs="Arial"/>
                <w:b/>
                <w:bCs/>
                <w:sz w:val="20"/>
                <w:szCs w:val="20"/>
              </w:rPr>
            </w:pPr>
            <w:r>
              <w:rPr>
                <w:rFonts w:ascii="Arial" w:hAnsi="Arial" w:cs="Arial"/>
                <w:b/>
                <w:bCs/>
                <w:sz w:val="20"/>
                <w:szCs w:val="20"/>
              </w:rPr>
              <w:t>November 30</w:t>
            </w:r>
            <w:r w:rsidR="00E53E22" w:rsidRPr="00AB32AE">
              <w:rPr>
                <w:rFonts w:ascii="Arial" w:hAnsi="Arial" w:cs="Arial"/>
                <w:b/>
                <w:bCs/>
                <w:sz w:val="20"/>
                <w:szCs w:val="20"/>
              </w:rPr>
              <w:t>, 202</w:t>
            </w:r>
            <w:r w:rsidR="00DE60D4" w:rsidRPr="00AB32AE">
              <w:rPr>
                <w:rFonts w:ascii="Arial" w:hAnsi="Arial" w:cs="Arial"/>
                <w:b/>
                <w:bCs/>
                <w:sz w:val="20"/>
                <w:szCs w:val="20"/>
              </w:rPr>
              <w:t>5</w:t>
            </w:r>
          </w:p>
          <w:p w14:paraId="7B102590" w14:textId="77777777" w:rsidR="00E53E22" w:rsidRPr="00AB32AE" w:rsidRDefault="00E53E22" w:rsidP="00FF031E">
            <w:pPr>
              <w:jc w:val="center"/>
              <w:rPr>
                <w:rFonts w:ascii="Arial" w:hAnsi="Arial" w:cs="Arial"/>
                <w:sz w:val="20"/>
                <w:szCs w:val="20"/>
              </w:rPr>
            </w:pPr>
            <w:r w:rsidRPr="00AB32AE">
              <w:rPr>
                <w:rFonts w:ascii="Arial" w:hAnsi="Arial" w:cs="Arial"/>
                <w:b/>
                <w:bCs/>
                <w:sz w:val="20"/>
                <w:szCs w:val="20"/>
              </w:rPr>
              <w:t>$</w:t>
            </w:r>
          </w:p>
        </w:tc>
        <w:tc>
          <w:tcPr>
            <w:tcW w:w="1702" w:type="dxa"/>
            <w:tcBorders>
              <w:top w:val="nil"/>
              <w:left w:val="nil"/>
              <w:bottom w:val="single" w:sz="12" w:space="0" w:color="auto"/>
            </w:tcBorders>
            <w:vAlign w:val="center"/>
          </w:tcPr>
          <w:p w14:paraId="357E037E" w14:textId="3B05A82F" w:rsidR="00E53E22" w:rsidRPr="00AB32AE" w:rsidRDefault="00AB32AE" w:rsidP="00FF031E">
            <w:pPr>
              <w:jc w:val="center"/>
              <w:rPr>
                <w:rFonts w:ascii="Arial" w:hAnsi="Arial" w:cs="Arial"/>
                <w:b/>
                <w:bCs/>
                <w:sz w:val="20"/>
                <w:szCs w:val="20"/>
              </w:rPr>
            </w:pPr>
            <w:r>
              <w:rPr>
                <w:rFonts w:ascii="Arial" w:hAnsi="Arial" w:cs="Arial"/>
                <w:b/>
                <w:sz w:val="20"/>
                <w:szCs w:val="20"/>
              </w:rPr>
              <w:t>Six</w:t>
            </w:r>
            <w:r w:rsidR="00E53E22" w:rsidRPr="00AB32AE">
              <w:rPr>
                <w:rFonts w:ascii="Arial" w:hAnsi="Arial" w:cs="Arial"/>
                <w:b/>
                <w:sz w:val="20"/>
                <w:szCs w:val="20"/>
              </w:rPr>
              <w:t xml:space="preserve"> Months Ended</w:t>
            </w:r>
            <w:r w:rsidR="00E53E22" w:rsidRPr="00AB32AE">
              <w:rPr>
                <w:rFonts w:ascii="Arial" w:hAnsi="Arial" w:cs="Arial"/>
                <w:b/>
                <w:bCs/>
                <w:sz w:val="20"/>
                <w:szCs w:val="20"/>
              </w:rPr>
              <w:t xml:space="preserve"> </w:t>
            </w:r>
          </w:p>
          <w:p w14:paraId="3E58CE1E" w14:textId="1F74197F" w:rsidR="00E53E22" w:rsidRPr="00AB32AE" w:rsidRDefault="00AB32AE" w:rsidP="00FF031E">
            <w:pPr>
              <w:jc w:val="center"/>
              <w:rPr>
                <w:rFonts w:ascii="Arial" w:hAnsi="Arial" w:cs="Arial"/>
                <w:b/>
                <w:bCs/>
                <w:sz w:val="20"/>
                <w:szCs w:val="20"/>
              </w:rPr>
            </w:pPr>
            <w:r>
              <w:rPr>
                <w:rFonts w:ascii="Arial" w:hAnsi="Arial" w:cs="Arial"/>
                <w:b/>
                <w:bCs/>
                <w:sz w:val="20"/>
                <w:szCs w:val="20"/>
              </w:rPr>
              <w:t>November 30</w:t>
            </w:r>
            <w:r w:rsidR="00E53E22" w:rsidRPr="00AB32AE">
              <w:rPr>
                <w:rFonts w:ascii="Arial" w:hAnsi="Arial" w:cs="Arial"/>
                <w:b/>
                <w:bCs/>
                <w:sz w:val="20"/>
                <w:szCs w:val="20"/>
              </w:rPr>
              <w:t>, 202</w:t>
            </w:r>
            <w:r w:rsidR="00DE60D4" w:rsidRPr="00AB32AE">
              <w:rPr>
                <w:rFonts w:ascii="Arial" w:hAnsi="Arial" w:cs="Arial"/>
                <w:b/>
                <w:bCs/>
                <w:sz w:val="20"/>
                <w:szCs w:val="20"/>
              </w:rPr>
              <w:t>4</w:t>
            </w:r>
          </w:p>
          <w:p w14:paraId="6FE82A77" w14:textId="77777777" w:rsidR="00E53E22" w:rsidRPr="00AB32AE" w:rsidRDefault="00E53E22" w:rsidP="00FF031E">
            <w:pPr>
              <w:jc w:val="center"/>
              <w:rPr>
                <w:rFonts w:ascii="Arial" w:hAnsi="Arial" w:cs="Arial"/>
                <w:sz w:val="20"/>
                <w:szCs w:val="20"/>
              </w:rPr>
            </w:pPr>
            <w:r w:rsidRPr="00AB32AE">
              <w:rPr>
                <w:rFonts w:ascii="Arial" w:hAnsi="Arial" w:cs="Arial"/>
                <w:b/>
                <w:bCs/>
                <w:sz w:val="20"/>
                <w:szCs w:val="20"/>
              </w:rPr>
              <w:t>$</w:t>
            </w:r>
          </w:p>
        </w:tc>
      </w:tr>
      <w:tr w:rsidR="00E53E22" w:rsidRPr="00AD4033" w14:paraId="1F9F7084" w14:textId="77777777" w:rsidTr="00FF031E">
        <w:trPr>
          <w:gridAfter w:val="1"/>
          <w:wAfter w:w="13" w:type="dxa"/>
        </w:trPr>
        <w:tc>
          <w:tcPr>
            <w:tcW w:w="6555" w:type="dxa"/>
            <w:tcBorders>
              <w:top w:val="single" w:sz="12" w:space="0" w:color="auto"/>
              <w:bottom w:val="nil"/>
              <w:right w:val="nil"/>
            </w:tcBorders>
            <w:vAlign w:val="bottom"/>
          </w:tcPr>
          <w:p w14:paraId="1FF83494" w14:textId="77777777" w:rsidR="00E53E22" w:rsidRPr="00AB32AE" w:rsidRDefault="00E53E22" w:rsidP="00FF031E">
            <w:pPr>
              <w:rPr>
                <w:rFonts w:ascii="Arial" w:hAnsi="Arial" w:cs="Arial"/>
                <w:sz w:val="20"/>
                <w:szCs w:val="20"/>
              </w:rPr>
            </w:pPr>
          </w:p>
        </w:tc>
        <w:tc>
          <w:tcPr>
            <w:tcW w:w="1530" w:type="dxa"/>
            <w:tcBorders>
              <w:top w:val="single" w:sz="12" w:space="0" w:color="auto"/>
              <w:left w:val="nil"/>
              <w:bottom w:val="nil"/>
              <w:right w:val="nil"/>
            </w:tcBorders>
            <w:vAlign w:val="center"/>
          </w:tcPr>
          <w:p w14:paraId="1005D19C" w14:textId="77777777" w:rsidR="00E53E22" w:rsidRPr="00AB32AE" w:rsidRDefault="00E53E22" w:rsidP="00FF031E">
            <w:pPr>
              <w:jc w:val="center"/>
              <w:rPr>
                <w:rFonts w:ascii="Arial" w:hAnsi="Arial" w:cs="Arial"/>
                <w:b/>
                <w:bCs/>
                <w:sz w:val="20"/>
                <w:szCs w:val="20"/>
              </w:rPr>
            </w:pPr>
          </w:p>
        </w:tc>
        <w:tc>
          <w:tcPr>
            <w:tcW w:w="1702" w:type="dxa"/>
            <w:tcBorders>
              <w:top w:val="single" w:sz="12" w:space="0" w:color="auto"/>
              <w:left w:val="nil"/>
              <w:bottom w:val="nil"/>
            </w:tcBorders>
            <w:vAlign w:val="center"/>
          </w:tcPr>
          <w:p w14:paraId="4A46F7DB" w14:textId="77777777" w:rsidR="00E53E22" w:rsidRPr="00AB32AE" w:rsidRDefault="00E53E22" w:rsidP="00FF031E">
            <w:pPr>
              <w:jc w:val="center"/>
              <w:rPr>
                <w:rFonts w:ascii="Arial" w:hAnsi="Arial" w:cs="Arial"/>
                <w:b/>
                <w:bCs/>
                <w:sz w:val="20"/>
                <w:szCs w:val="20"/>
              </w:rPr>
            </w:pPr>
          </w:p>
        </w:tc>
      </w:tr>
      <w:tr w:rsidR="00E53E22" w:rsidRPr="00AD4033" w14:paraId="223B84CA" w14:textId="77777777" w:rsidTr="00FF031E">
        <w:trPr>
          <w:gridAfter w:val="1"/>
          <w:wAfter w:w="13" w:type="dxa"/>
        </w:trPr>
        <w:tc>
          <w:tcPr>
            <w:tcW w:w="6555" w:type="dxa"/>
            <w:tcBorders>
              <w:top w:val="nil"/>
              <w:bottom w:val="nil"/>
              <w:right w:val="nil"/>
            </w:tcBorders>
            <w:vAlign w:val="bottom"/>
          </w:tcPr>
          <w:p w14:paraId="42AC3745" w14:textId="77777777" w:rsidR="00E53E22" w:rsidRPr="00AB32AE" w:rsidRDefault="00E53E22" w:rsidP="00FF031E">
            <w:pPr>
              <w:rPr>
                <w:rFonts w:ascii="Arial" w:hAnsi="Arial" w:cs="Arial"/>
                <w:sz w:val="20"/>
                <w:szCs w:val="20"/>
              </w:rPr>
            </w:pPr>
            <w:r w:rsidRPr="00AB32AE">
              <w:rPr>
                <w:rFonts w:ascii="Arial" w:eastAsia="Arial" w:hAnsi="Arial" w:cs="Arial"/>
                <w:b/>
                <w:sz w:val="20"/>
                <w:szCs w:val="20"/>
              </w:rPr>
              <w:t>Operating activities</w:t>
            </w:r>
          </w:p>
        </w:tc>
        <w:tc>
          <w:tcPr>
            <w:tcW w:w="1530" w:type="dxa"/>
            <w:tcBorders>
              <w:top w:val="nil"/>
              <w:left w:val="nil"/>
              <w:bottom w:val="nil"/>
              <w:right w:val="nil"/>
            </w:tcBorders>
            <w:vAlign w:val="center"/>
          </w:tcPr>
          <w:p w14:paraId="63D11833" w14:textId="77777777" w:rsidR="00E53E22" w:rsidRPr="00AB32AE" w:rsidRDefault="00E53E22" w:rsidP="00FF031E">
            <w:pPr>
              <w:jc w:val="right"/>
              <w:rPr>
                <w:rFonts w:ascii="Arial" w:hAnsi="Arial" w:cs="Arial"/>
                <w:sz w:val="20"/>
                <w:szCs w:val="20"/>
              </w:rPr>
            </w:pPr>
          </w:p>
        </w:tc>
        <w:tc>
          <w:tcPr>
            <w:tcW w:w="1702" w:type="dxa"/>
            <w:tcBorders>
              <w:top w:val="nil"/>
              <w:left w:val="nil"/>
              <w:bottom w:val="nil"/>
            </w:tcBorders>
            <w:vAlign w:val="center"/>
          </w:tcPr>
          <w:p w14:paraId="679A36F7" w14:textId="77777777" w:rsidR="00E53E22" w:rsidRPr="00AB32AE" w:rsidRDefault="00E53E22" w:rsidP="00FF031E">
            <w:pPr>
              <w:jc w:val="right"/>
              <w:rPr>
                <w:rFonts w:ascii="Arial" w:hAnsi="Arial" w:cs="Arial"/>
                <w:sz w:val="20"/>
                <w:szCs w:val="20"/>
              </w:rPr>
            </w:pPr>
          </w:p>
        </w:tc>
      </w:tr>
      <w:tr w:rsidR="00E53E22" w:rsidRPr="00AD4033" w14:paraId="1C236948" w14:textId="77777777" w:rsidTr="00FF031E">
        <w:trPr>
          <w:gridAfter w:val="1"/>
          <w:wAfter w:w="13" w:type="dxa"/>
        </w:trPr>
        <w:tc>
          <w:tcPr>
            <w:tcW w:w="6555" w:type="dxa"/>
            <w:tcBorders>
              <w:top w:val="nil"/>
              <w:bottom w:val="nil"/>
              <w:right w:val="nil"/>
            </w:tcBorders>
            <w:vAlign w:val="bottom"/>
          </w:tcPr>
          <w:p w14:paraId="6061F1CD" w14:textId="47AB9095" w:rsidR="00E53E22" w:rsidRPr="00AB32AE" w:rsidRDefault="00E53E22" w:rsidP="00FF031E">
            <w:pPr>
              <w:rPr>
                <w:rFonts w:ascii="Arial" w:eastAsia="Arial" w:hAnsi="Arial" w:cs="Arial"/>
                <w:sz w:val="20"/>
                <w:szCs w:val="20"/>
              </w:rPr>
            </w:pPr>
            <w:r w:rsidRPr="00AB32AE">
              <w:rPr>
                <w:rFonts w:ascii="Arial" w:eastAsia="Arial" w:hAnsi="Arial" w:cs="Arial"/>
                <w:sz w:val="20"/>
                <w:szCs w:val="20"/>
              </w:rPr>
              <w:t xml:space="preserve">Net </w:t>
            </w:r>
            <w:r w:rsidR="00AB32AE" w:rsidRPr="00AB32AE">
              <w:rPr>
                <w:rFonts w:ascii="Arial" w:eastAsia="Arial" w:hAnsi="Arial" w:cs="Arial"/>
                <w:sz w:val="20"/>
                <w:szCs w:val="20"/>
              </w:rPr>
              <w:t xml:space="preserve">(loss) </w:t>
            </w:r>
            <w:r w:rsidRPr="00AB32AE">
              <w:rPr>
                <w:rFonts w:ascii="Arial" w:eastAsia="Arial" w:hAnsi="Arial" w:cs="Arial"/>
                <w:sz w:val="20"/>
                <w:szCs w:val="20"/>
              </w:rPr>
              <w:t>income for the period for continued and discontinued operations</w:t>
            </w:r>
            <w:r w:rsidRPr="00AB32AE">
              <w:rPr>
                <w:rFonts w:ascii="Arial" w:hAnsi="Arial" w:cs="Arial"/>
                <w:sz w:val="20"/>
                <w:szCs w:val="20"/>
              </w:rPr>
              <w:t xml:space="preserve"> </w:t>
            </w:r>
          </w:p>
        </w:tc>
        <w:tc>
          <w:tcPr>
            <w:tcW w:w="1530" w:type="dxa"/>
            <w:tcBorders>
              <w:top w:val="nil"/>
              <w:left w:val="nil"/>
              <w:bottom w:val="nil"/>
              <w:right w:val="nil"/>
            </w:tcBorders>
            <w:vAlign w:val="center"/>
          </w:tcPr>
          <w:p w14:paraId="28863D0F" w14:textId="03CE336B" w:rsidR="00E53E22" w:rsidRPr="00AB32AE" w:rsidRDefault="00AB32AE" w:rsidP="00FF031E">
            <w:pPr>
              <w:jc w:val="right"/>
              <w:rPr>
                <w:rFonts w:ascii="Arial" w:hAnsi="Arial" w:cs="Arial"/>
                <w:b/>
                <w:bCs/>
                <w:sz w:val="20"/>
                <w:szCs w:val="20"/>
              </w:rPr>
            </w:pPr>
            <w:r>
              <w:rPr>
                <w:rFonts w:ascii="Arial" w:hAnsi="Arial" w:cs="Arial"/>
                <w:b/>
                <w:bCs/>
                <w:sz w:val="20"/>
                <w:szCs w:val="20"/>
              </w:rPr>
              <w:t>(4,543)</w:t>
            </w:r>
          </w:p>
        </w:tc>
        <w:tc>
          <w:tcPr>
            <w:tcW w:w="1702" w:type="dxa"/>
            <w:tcBorders>
              <w:top w:val="nil"/>
              <w:left w:val="nil"/>
              <w:bottom w:val="nil"/>
            </w:tcBorders>
            <w:vAlign w:val="center"/>
          </w:tcPr>
          <w:p w14:paraId="40E13E64" w14:textId="24B30FD2" w:rsidR="00E53E22" w:rsidRPr="00AB32AE" w:rsidRDefault="00AB32AE" w:rsidP="00FF031E">
            <w:pPr>
              <w:jc w:val="right"/>
              <w:rPr>
                <w:rFonts w:ascii="Arial" w:hAnsi="Arial" w:cs="Arial"/>
                <w:sz w:val="20"/>
                <w:szCs w:val="20"/>
              </w:rPr>
            </w:pPr>
            <w:r>
              <w:rPr>
                <w:rFonts w:ascii="Arial" w:hAnsi="Arial" w:cs="Arial"/>
                <w:sz w:val="20"/>
                <w:szCs w:val="20"/>
              </w:rPr>
              <w:t>1,870</w:t>
            </w:r>
          </w:p>
        </w:tc>
      </w:tr>
      <w:tr w:rsidR="00E53E22" w:rsidRPr="00AD4033" w14:paraId="7E1B1460" w14:textId="77777777" w:rsidTr="00FF031E">
        <w:trPr>
          <w:gridAfter w:val="1"/>
          <w:wAfter w:w="13" w:type="dxa"/>
        </w:trPr>
        <w:tc>
          <w:tcPr>
            <w:tcW w:w="6555" w:type="dxa"/>
            <w:tcBorders>
              <w:top w:val="nil"/>
              <w:bottom w:val="nil"/>
              <w:right w:val="nil"/>
            </w:tcBorders>
            <w:vAlign w:val="bottom"/>
          </w:tcPr>
          <w:p w14:paraId="158AB8AA" w14:textId="77777777" w:rsidR="00E53E22" w:rsidRPr="00AB32AE" w:rsidRDefault="00E53E22" w:rsidP="00FF031E">
            <w:pPr>
              <w:rPr>
                <w:rFonts w:ascii="Arial" w:hAnsi="Arial" w:cs="Arial"/>
                <w:sz w:val="20"/>
                <w:szCs w:val="20"/>
              </w:rPr>
            </w:pPr>
            <w:r w:rsidRPr="00AB32AE">
              <w:rPr>
                <w:rFonts w:ascii="Arial" w:eastAsia="Arial" w:hAnsi="Arial" w:cs="Arial"/>
                <w:sz w:val="20"/>
                <w:szCs w:val="20"/>
              </w:rPr>
              <w:t>Adjustments for</w:t>
            </w:r>
          </w:p>
        </w:tc>
        <w:tc>
          <w:tcPr>
            <w:tcW w:w="1530" w:type="dxa"/>
            <w:tcBorders>
              <w:top w:val="nil"/>
              <w:left w:val="nil"/>
              <w:bottom w:val="nil"/>
              <w:right w:val="nil"/>
            </w:tcBorders>
            <w:vAlign w:val="center"/>
          </w:tcPr>
          <w:p w14:paraId="05DB0C81"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center"/>
          </w:tcPr>
          <w:p w14:paraId="3F7B73ED" w14:textId="77777777" w:rsidR="00E53E22" w:rsidRPr="00AB32AE" w:rsidRDefault="00E53E22" w:rsidP="00FF031E">
            <w:pPr>
              <w:jc w:val="right"/>
              <w:rPr>
                <w:rFonts w:ascii="Arial" w:hAnsi="Arial" w:cs="Arial"/>
                <w:sz w:val="20"/>
                <w:szCs w:val="20"/>
              </w:rPr>
            </w:pPr>
          </w:p>
        </w:tc>
      </w:tr>
      <w:tr w:rsidR="00E53E22" w:rsidRPr="00AD4033" w14:paraId="4BC963EC" w14:textId="77777777" w:rsidTr="00FF031E">
        <w:trPr>
          <w:gridAfter w:val="1"/>
          <w:wAfter w:w="13" w:type="dxa"/>
        </w:trPr>
        <w:tc>
          <w:tcPr>
            <w:tcW w:w="6555" w:type="dxa"/>
            <w:tcBorders>
              <w:top w:val="nil"/>
              <w:bottom w:val="nil"/>
              <w:right w:val="nil"/>
            </w:tcBorders>
            <w:vAlign w:val="bottom"/>
          </w:tcPr>
          <w:p w14:paraId="6FE99970" w14:textId="0472B8B2" w:rsidR="00E53E22" w:rsidRPr="00AB32AE" w:rsidRDefault="00E53E22" w:rsidP="00FF031E">
            <w:pPr>
              <w:ind w:left="162"/>
              <w:rPr>
                <w:rFonts w:ascii="Arial" w:hAnsi="Arial" w:cs="Arial"/>
                <w:sz w:val="20"/>
                <w:szCs w:val="20"/>
              </w:rPr>
            </w:pPr>
            <w:r w:rsidRPr="00AB32AE">
              <w:rPr>
                <w:rFonts w:ascii="Arial" w:hAnsi="Arial" w:cs="Arial"/>
                <w:sz w:val="20"/>
                <w:szCs w:val="20"/>
              </w:rPr>
              <w:t>Depreciation</w:t>
            </w:r>
          </w:p>
        </w:tc>
        <w:tc>
          <w:tcPr>
            <w:tcW w:w="1530" w:type="dxa"/>
            <w:tcBorders>
              <w:top w:val="nil"/>
              <w:left w:val="nil"/>
              <w:bottom w:val="nil"/>
              <w:right w:val="nil"/>
            </w:tcBorders>
            <w:vAlign w:val="center"/>
          </w:tcPr>
          <w:p w14:paraId="6FB0538C" w14:textId="7923DB95" w:rsidR="00E53E22" w:rsidRPr="00AB32AE" w:rsidRDefault="00AB32AE" w:rsidP="00FF031E">
            <w:pPr>
              <w:jc w:val="right"/>
              <w:rPr>
                <w:rFonts w:ascii="Arial" w:hAnsi="Arial" w:cs="Arial"/>
                <w:b/>
                <w:bCs/>
                <w:sz w:val="20"/>
                <w:szCs w:val="20"/>
              </w:rPr>
            </w:pPr>
            <w:r>
              <w:rPr>
                <w:rFonts w:ascii="Arial" w:hAnsi="Arial" w:cs="Arial"/>
                <w:b/>
                <w:bCs/>
                <w:sz w:val="20"/>
                <w:szCs w:val="20"/>
              </w:rPr>
              <w:t>10</w:t>
            </w:r>
          </w:p>
        </w:tc>
        <w:tc>
          <w:tcPr>
            <w:tcW w:w="1702" w:type="dxa"/>
            <w:tcBorders>
              <w:top w:val="nil"/>
              <w:left w:val="nil"/>
              <w:bottom w:val="nil"/>
            </w:tcBorders>
            <w:vAlign w:val="center"/>
          </w:tcPr>
          <w:p w14:paraId="5A82176C" w14:textId="41E65EC6" w:rsidR="00E53E22" w:rsidRPr="00AB32AE" w:rsidRDefault="00AB32AE" w:rsidP="00FF031E">
            <w:pPr>
              <w:jc w:val="right"/>
              <w:rPr>
                <w:rFonts w:ascii="Arial" w:hAnsi="Arial" w:cs="Arial"/>
                <w:sz w:val="20"/>
                <w:szCs w:val="20"/>
              </w:rPr>
            </w:pPr>
            <w:r>
              <w:rPr>
                <w:rFonts w:ascii="Arial" w:hAnsi="Arial" w:cs="Arial"/>
                <w:sz w:val="20"/>
                <w:szCs w:val="20"/>
              </w:rPr>
              <w:t>10</w:t>
            </w:r>
          </w:p>
        </w:tc>
      </w:tr>
      <w:tr w:rsidR="00E53E22" w:rsidRPr="00AD4033" w14:paraId="4DA0F879" w14:textId="77777777" w:rsidTr="00FF031E">
        <w:trPr>
          <w:gridAfter w:val="1"/>
          <w:wAfter w:w="13" w:type="dxa"/>
        </w:trPr>
        <w:tc>
          <w:tcPr>
            <w:tcW w:w="6555" w:type="dxa"/>
            <w:tcBorders>
              <w:top w:val="nil"/>
              <w:bottom w:val="nil"/>
              <w:right w:val="nil"/>
            </w:tcBorders>
            <w:vAlign w:val="bottom"/>
          </w:tcPr>
          <w:p w14:paraId="080B3ED6" w14:textId="77777777" w:rsidR="00E53E22" w:rsidRPr="00AB32AE" w:rsidRDefault="00E53E22" w:rsidP="00FF031E">
            <w:pPr>
              <w:ind w:left="162"/>
              <w:rPr>
                <w:rFonts w:ascii="Arial" w:hAnsi="Arial" w:cs="Arial"/>
                <w:sz w:val="20"/>
                <w:szCs w:val="20"/>
              </w:rPr>
            </w:pPr>
            <w:r w:rsidRPr="00AB32AE">
              <w:rPr>
                <w:rFonts w:ascii="Arial" w:hAnsi="Arial" w:cs="Arial"/>
                <w:sz w:val="20"/>
                <w:szCs w:val="20"/>
              </w:rPr>
              <w:t>Share-based payments</w:t>
            </w:r>
          </w:p>
        </w:tc>
        <w:tc>
          <w:tcPr>
            <w:tcW w:w="1530" w:type="dxa"/>
            <w:tcBorders>
              <w:top w:val="nil"/>
              <w:left w:val="nil"/>
              <w:bottom w:val="nil"/>
              <w:right w:val="nil"/>
            </w:tcBorders>
            <w:vAlign w:val="center"/>
          </w:tcPr>
          <w:p w14:paraId="32765303" w14:textId="2727DBA1" w:rsidR="00E53E22" w:rsidRPr="00AB32AE" w:rsidDel="004C4DE4" w:rsidRDefault="00AB32AE" w:rsidP="00FF031E">
            <w:pPr>
              <w:jc w:val="right"/>
              <w:rPr>
                <w:rFonts w:ascii="Arial" w:hAnsi="Arial" w:cs="Arial"/>
                <w:b/>
                <w:bCs/>
                <w:sz w:val="20"/>
                <w:szCs w:val="20"/>
              </w:rPr>
            </w:pPr>
            <w:r>
              <w:rPr>
                <w:rFonts w:ascii="Arial" w:hAnsi="Arial" w:cs="Arial"/>
                <w:b/>
                <w:bCs/>
                <w:sz w:val="20"/>
                <w:szCs w:val="20"/>
              </w:rPr>
              <w:t>706</w:t>
            </w:r>
          </w:p>
        </w:tc>
        <w:tc>
          <w:tcPr>
            <w:tcW w:w="1702" w:type="dxa"/>
            <w:tcBorders>
              <w:top w:val="nil"/>
              <w:left w:val="nil"/>
              <w:bottom w:val="nil"/>
            </w:tcBorders>
            <w:vAlign w:val="center"/>
          </w:tcPr>
          <w:p w14:paraId="005B6792" w14:textId="34AD47C6" w:rsidR="00E53E22" w:rsidRPr="00AB32AE" w:rsidDel="004C4DE4" w:rsidRDefault="00AB32AE" w:rsidP="00FF031E">
            <w:pPr>
              <w:jc w:val="right"/>
              <w:rPr>
                <w:rFonts w:ascii="Arial" w:hAnsi="Arial" w:cs="Arial"/>
                <w:sz w:val="20"/>
                <w:szCs w:val="20"/>
              </w:rPr>
            </w:pPr>
            <w:r>
              <w:rPr>
                <w:rFonts w:ascii="Arial" w:hAnsi="Arial" w:cs="Arial"/>
                <w:sz w:val="20"/>
                <w:szCs w:val="20"/>
              </w:rPr>
              <w:t>107</w:t>
            </w:r>
          </w:p>
        </w:tc>
      </w:tr>
      <w:tr w:rsidR="00E53E22" w:rsidRPr="00AD4033" w14:paraId="1FD35BCA" w14:textId="77777777" w:rsidTr="00FF031E">
        <w:trPr>
          <w:gridAfter w:val="1"/>
          <w:wAfter w:w="13" w:type="dxa"/>
        </w:trPr>
        <w:tc>
          <w:tcPr>
            <w:tcW w:w="6555" w:type="dxa"/>
            <w:tcBorders>
              <w:top w:val="nil"/>
              <w:bottom w:val="nil"/>
              <w:right w:val="nil"/>
            </w:tcBorders>
            <w:vAlign w:val="bottom"/>
          </w:tcPr>
          <w:p w14:paraId="336908C9" w14:textId="77777777" w:rsidR="00E53E22" w:rsidRPr="00AB32AE" w:rsidRDefault="00E53E22" w:rsidP="00FF031E">
            <w:pPr>
              <w:ind w:left="162"/>
              <w:rPr>
                <w:rFonts w:ascii="Arial" w:hAnsi="Arial" w:cs="Arial"/>
                <w:sz w:val="20"/>
                <w:szCs w:val="20"/>
              </w:rPr>
            </w:pPr>
            <w:r w:rsidRPr="00AB32AE">
              <w:rPr>
                <w:rFonts w:ascii="Arial" w:hAnsi="Arial" w:cs="Arial"/>
                <w:sz w:val="20"/>
                <w:szCs w:val="20"/>
              </w:rPr>
              <w:t>Reversed liability and interest accrued</w:t>
            </w:r>
          </w:p>
        </w:tc>
        <w:tc>
          <w:tcPr>
            <w:tcW w:w="1530" w:type="dxa"/>
            <w:tcBorders>
              <w:top w:val="nil"/>
              <w:left w:val="nil"/>
              <w:bottom w:val="nil"/>
              <w:right w:val="nil"/>
            </w:tcBorders>
            <w:vAlign w:val="center"/>
          </w:tcPr>
          <w:p w14:paraId="5F82CC2D" w14:textId="2210C418" w:rsidR="00E53E22" w:rsidRPr="00AB32AE" w:rsidRDefault="00AB32AE" w:rsidP="00FF031E">
            <w:pPr>
              <w:jc w:val="right"/>
              <w:rPr>
                <w:rFonts w:ascii="Arial" w:hAnsi="Arial" w:cs="Arial"/>
                <w:b/>
                <w:bCs/>
                <w:sz w:val="20"/>
                <w:szCs w:val="20"/>
              </w:rPr>
            </w:pPr>
            <w:r>
              <w:rPr>
                <w:rFonts w:ascii="Arial" w:hAnsi="Arial" w:cs="Arial"/>
                <w:b/>
                <w:bCs/>
                <w:sz w:val="20"/>
                <w:szCs w:val="20"/>
              </w:rPr>
              <w:t>-</w:t>
            </w:r>
          </w:p>
        </w:tc>
        <w:tc>
          <w:tcPr>
            <w:tcW w:w="1702" w:type="dxa"/>
            <w:tcBorders>
              <w:top w:val="nil"/>
              <w:left w:val="nil"/>
              <w:bottom w:val="nil"/>
            </w:tcBorders>
            <w:vAlign w:val="center"/>
          </w:tcPr>
          <w:p w14:paraId="37DFCD4A" w14:textId="62B70391" w:rsidR="00E53E22" w:rsidRPr="00AB32AE" w:rsidRDefault="00AB32AE" w:rsidP="00FF031E">
            <w:pPr>
              <w:jc w:val="right"/>
              <w:rPr>
                <w:rFonts w:ascii="Arial" w:hAnsi="Arial" w:cs="Arial"/>
                <w:sz w:val="20"/>
                <w:szCs w:val="20"/>
              </w:rPr>
            </w:pPr>
            <w:r w:rsidRPr="00AB32AE">
              <w:rPr>
                <w:rFonts w:ascii="Arial" w:hAnsi="Arial" w:cs="Arial"/>
                <w:sz w:val="20"/>
                <w:szCs w:val="20"/>
              </w:rPr>
              <w:t>(2,376)</w:t>
            </w:r>
          </w:p>
        </w:tc>
      </w:tr>
      <w:tr w:rsidR="00AB32AE" w:rsidRPr="00AD4033" w14:paraId="1B634AB2" w14:textId="77777777" w:rsidTr="00FF031E">
        <w:trPr>
          <w:gridAfter w:val="1"/>
          <w:wAfter w:w="13" w:type="dxa"/>
        </w:trPr>
        <w:tc>
          <w:tcPr>
            <w:tcW w:w="6555" w:type="dxa"/>
            <w:tcBorders>
              <w:top w:val="nil"/>
              <w:bottom w:val="nil"/>
              <w:right w:val="nil"/>
            </w:tcBorders>
            <w:vAlign w:val="bottom"/>
          </w:tcPr>
          <w:p w14:paraId="588D69C3" w14:textId="26124232" w:rsidR="00AB32AE" w:rsidRPr="00AB32AE" w:rsidRDefault="00AB32AE" w:rsidP="00FF031E">
            <w:pPr>
              <w:ind w:left="162"/>
              <w:rPr>
                <w:rFonts w:ascii="Arial" w:hAnsi="Arial" w:cs="Arial"/>
                <w:sz w:val="20"/>
                <w:szCs w:val="20"/>
              </w:rPr>
            </w:pPr>
            <w:r>
              <w:rPr>
                <w:rFonts w:ascii="Arial" w:hAnsi="Arial" w:cs="Arial"/>
                <w:sz w:val="20"/>
                <w:szCs w:val="20"/>
              </w:rPr>
              <w:t>Loss on fair value of warran</w:t>
            </w:r>
            <w:r w:rsidR="00AA69E3">
              <w:rPr>
                <w:rFonts w:ascii="Arial" w:hAnsi="Arial" w:cs="Arial"/>
                <w:sz w:val="20"/>
                <w:szCs w:val="20"/>
              </w:rPr>
              <w:t>t</w:t>
            </w:r>
            <w:r>
              <w:rPr>
                <w:rFonts w:ascii="Arial" w:hAnsi="Arial" w:cs="Arial"/>
                <w:sz w:val="20"/>
                <w:szCs w:val="20"/>
              </w:rPr>
              <w:t>s</w:t>
            </w:r>
          </w:p>
        </w:tc>
        <w:tc>
          <w:tcPr>
            <w:tcW w:w="1530" w:type="dxa"/>
            <w:tcBorders>
              <w:top w:val="nil"/>
              <w:left w:val="nil"/>
              <w:bottom w:val="nil"/>
              <w:right w:val="nil"/>
            </w:tcBorders>
            <w:vAlign w:val="center"/>
          </w:tcPr>
          <w:p w14:paraId="441F52F4" w14:textId="6BFB0249" w:rsidR="00AB32AE" w:rsidRPr="00AB32AE" w:rsidRDefault="00AB32AE" w:rsidP="00FF031E">
            <w:pPr>
              <w:jc w:val="right"/>
              <w:rPr>
                <w:rFonts w:ascii="Arial" w:hAnsi="Arial" w:cs="Arial"/>
                <w:b/>
                <w:bCs/>
                <w:sz w:val="20"/>
                <w:szCs w:val="20"/>
              </w:rPr>
            </w:pPr>
            <w:r>
              <w:rPr>
                <w:rFonts w:ascii="Arial" w:hAnsi="Arial" w:cs="Arial"/>
                <w:b/>
                <w:bCs/>
                <w:sz w:val="20"/>
                <w:szCs w:val="20"/>
              </w:rPr>
              <w:t>2,53</w:t>
            </w:r>
            <w:r w:rsidR="001B7CF8">
              <w:rPr>
                <w:rFonts w:ascii="Arial" w:hAnsi="Arial" w:cs="Arial"/>
                <w:b/>
                <w:bCs/>
                <w:sz w:val="20"/>
                <w:szCs w:val="20"/>
              </w:rPr>
              <w:t>2</w:t>
            </w:r>
          </w:p>
        </w:tc>
        <w:tc>
          <w:tcPr>
            <w:tcW w:w="1702" w:type="dxa"/>
            <w:tcBorders>
              <w:top w:val="nil"/>
              <w:left w:val="nil"/>
              <w:bottom w:val="nil"/>
            </w:tcBorders>
            <w:vAlign w:val="center"/>
          </w:tcPr>
          <w:p w14:paraId="00BE30D0" w14:textId="77777777" w:rsidR="00AB32AE" w:rsidRPr="00AB32AE" w:rsidRDefault="00AB32AE" w:rsidP="00FF031E">
            <w:pPr>
              <w:jc w:val="right"/>
              <w:rPr>
                <w:rFonts w:ascii="Arial" w:hAnsi="Arial" w:cs="Arial"/>
                <w:sz w:val="20"/>
                <w:szCs w:val="20"/>
              </w:rPr>
            </w:pPr>
          </w:p>
        </w:tc>
      </w:tr>
      <w:tr w:rsidR="00E53E22" w:rsidRPr="00AD4033" w14:paraId="463A931A" w14:textId="77777777" w:rsidTr="00FF031E">
        <w:trPr>
          <w:gridAfter w:val="1"/>
          <w:wAfter w:w="13" w:type="dxa"/>
        </w:trPr>
        <w:tc>
          <w:tcPr>
            <w:tcW w:w="6555" w:type="dxa"/>
            <w:tcBorders>
              <w:top w:val="nil"/>
              <w:bottom w:val="nil"/>
              <w:right w:val="nil"/>
            </w:tcBorders>
            <w:vAlign w:val="bottom"/>
          </w:tcPr>
          <w:p w14:paraId="0A7507F0" w14:textId="77777777" w:rsidR="00E53E22" w:rsidRPr="00AB32AE" w:rsidRDefault="00E53E22" w:rsidP="00FF031E">
            <w:pPr>
              <w:ind w:left="162"/>
              <w:rPr>
                <w:rFonts w:ascii="Arial" w:hAnsi="Arial" w:cs="Arial"/>
                <w:sz w:val="20"/>
                <w:szCs w:val="20"/>
              </w:rPr>
            </w:pPr>
            <w:r w:rsidRPr="00AB32AE">
              <w:rPr>
                <w:rFonts w:ascii="Arial" w:hAnsi="Arial" w:cs="Arial"/>
                <w:sz w:val="20"/>
                <w:szCs w:val="20"/>
              </w:rPr>
              <w:t>Foreign exchange and other</w:t>
            </w:r>
          </w:p>
        </w:tc>
        <w:tc>
          <w:tcPr>
            <w:tcW w:w="1530" w:type="dxa"/>
            <w:tcBorders>
              <w:top w:val="nil"/>
              <w:left w:val="nil"/>
              <w:bottom w:val="nil"/>
              <w:right w:val="nil"/>
            </w:tcBorders>
            <w:vAlign w:val="center"/>
          </w:tcPr>
          <w:p w14:paraId="46BE3477" w14:textId="4E1277C3" w:rsidR="00E53E22" w:rsidRPr="00AB32AE" w:rsidRDefault="00AB32AE" w:rsidP="00FF031E">
            <w:pPr>
              <w:jc w:val="right"/>
              <w:rPr>
                <w:rFonts w:ascii="Arial" w:hAnsi="Arial" w:cs="Arial"/>
                <w:b/>
                <w:bCs/>
                <w:sz w:val="20"/>
                <w:szCs w:val="20"/>
              </w:rPr>
            </w:pPr>
            <w:r>
              <w:rPr>
                <w:rFonts w:ascii="Arial" w:hAnsi="Arial" w:cs="Arial"/>
                <w:b/>
                <w:bCs/>
                <w:sz w:val="20"/>
                <w:szCs w:val="20"/>
              </w:rPr>
              <w:t>53</w:t>
            </w:r>
          </w:p>
        </w:tc>
        <w:tc>
          <w:tcPr>
            <w:tcW w:w="1702" w:type="dxa"/>
            <w:tcBorders>
              <w:top w:val="nil"/>
              <w:left w:val="nil"/>
              <w:bottom w:val="nil"/>
            </w:tcBorders>
            <w:vAlign w:val="center"/>
          </w:tcPr>
          <w:p w14:paraId="09EF8E81" w14:textId="079472C7" w:rsidR="00E53E22" w:rsidRPr="00AB32AE" w:rsidRDefault="00AB32AE" w:rsidP="00FF031E">
            <w:pPr>
              <w:jc w:val="right"/>
              <w:rPr>
                <w:rFonts w:ascii="Arial" w:hAnsi="Arial" w:cs="Arial"/>
                <w:sz w:val="20"/>
                <w:szCs w:val="20"/>
              </w:rPr>
            </w:pPr>
            <w:r>
              <w:rPr>
                <w:rFonts w:ascii="Arial" w:hAnsi="Arial" w:cs="Arial"/>
                <w:sz w:val="20"/>
                <w:szCs w:val="20"/>
              </w:rPr>
              <w:t>(11)</w:t>
            </w:r>
          </w:p>
        </w:tc>
      </w:tr>
      <w:tr w:rsidR="00E53E22" w:rsidRPr="00AD4033" w14:paraId="48066387" w14:textId="77777777" w:rsidTr="00FF031E">
        <w:trPr>
          <w:gridAfter w:val="1"/>
          <w:wAfter w:w="13" w:type="dxa"/>
        </w:trPr>
        <w:tc>
          <w:tcPr>
            <w:tcW w:w="6555" w:type="dxa"/>
            <w:tcBorders>
              <w:top w:val="nil"/>
              <w:bottom w:val="nil"/>
              <w:right w:val="nil"/>
            </w:tcBorders>
            <w:vAlign w:val="bottom"/>
          </w:tcPr>
          <w:p w14:paraId="502A14AD" w14:textId="77777777" w:rsidR="00E53E22" w:rsidRPr="00AB32AE" w:rsidRDefault="00E53E22" w:rsidP="00FF031E">
            <w:pPr>
              <w:rPr>
                <w:rFonts w:ascii="Arial" w:hAnsi="Arial" w:cs="Arial"/>
                <w:sz w:val="20"/>
                <w:szCs w:val="20"/>
              </w:rPr>
            </w:pPr>
            <w:r w:rsidRPr="00AB32AE">
              <w:rPr>
                <w:rFonts w:ascii="Arial" w:hAnsi="Arial" w:cs="Arial"/>
                <w:sz w:val="20"/>
                <w:szCs w:val="20"/>
              </w:rPr>
              <w:t>Changes in non-cash working capital items:</w:t>
            </w:r>
          </w:p>
        </w:tc>
        <w:tc>
          <w:tcPr>
            <w:tcW w:w="1530" w:type="dxa"/>
            <w:tcBorders>
              <w:top w:val="nil"/>
              <w:left w:val="nil"/>
              <w:bottom w:val="nil"/>
              <w:right w:val="nil"/>
            </w:tcBorders>
            <w:vAlign w:val="center"/>
          </w:tcPr>
          <w:p w14:paraId="79680E94"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center"/>
          </w:tcPr>
          <w:p w14:paraId="28044CE3" w14:textId="77777777" w:rsidR="00E53E22" w:rsidRPr="00AB32AE" w:rsidRDefault="00E53E22" w:rsidP="00FF031E">
            <w:pPr>
              <w:jc w:val="right"/>
              <w:rPr>
                <w:rFonts w:ascii="Arial" w:hAnsi="Arial" w:cs="Arial"/>
                <w:sz w:val="20"/>
                <w:szCs w:val="20"/>
              </w:rPr>
            </w:pPr>
          </w:p>
        </w:tc>
      </w:tr>
      <w:tr w:rsidR="00E53E22" w:rsidRPr="00AD4033" w14:paraId="6A93CA33" w14:textId="77777777" w:rsidTr="00FF031E">
        <w:trPr>
          <w:gridAfter w:val="1"/>
          <w:wAfter w:w="13" w:type="dxa"/>
        </w:trPr>
        <w:tc>
          <w:tcPr>
            <w:tcW w:w="6555" w:type="dxa"/>
            <w:tcBorders>
              <w:top w:val="nil"/>
              <w:bottom w:val="nil"/>
              <w:right w:val="nil"/>
            </w:tcBorders>
            <w:vAlign w:val="bottom"/>
          </w:tcPr>
          <w:p w14:paraId="3824FB53" w14:textId="77777777" w:rsidR="00E53E22" w:rsidRPr="00AB32AE" w:rsidRDefault="00E53E22" w:rsidP="00FF031E">
            <w:pPr>
              <w:ind w:left="162"/>
              <w:rPr>
                <w:rFonts w:ascii="Arial" w:hAnsi="Arial" w:cs="Arial"/>
                <w:sz w:val="20"/>
                <w:szCs w:val="20"/>
              </w:rPr>
            </w:pPr>
            <w:r w:rsidRPr="00AB32AE">
              <w:rPr>
                <w:rFonts w:ascii="Arial" w:hAnsi="Arial" w:cs="Arial"/>
                <w:sz w:val="20"/>
                <w:szCs w:val="20"/>
              </w:rPr>
              <w:t>Accounts receivable and other assets</w:t>
            </w:r>
          </w:p>
        </w:tc>
        <w:tc>
          <w:tcPr>
            <w:tcW w:w="1530" w:type="dxa"/>
            <w:tcBorders>
              <w:top w:val="nil"/>
              <w:left w:val="nil"/>
              <w:bottom w:val="nil"/>
              <w:right w:val="nil"/>
            </w:tcBorders>
            <w:vAlign w:val="center"/>
          </w:tcPr>
          <w:p w14:paraId="7DCA6B5A" w14:textId="77AFDA05" w:rsidR="00E53E22" w:rsidRPr="00AB32AE" w:rsidRDefault="00E53E22" w:rsidP="00FF031E">
            <w:pPr>
              <w:jc w:val="right"/>
              <w:rPr>
                <w:rFonts w:ascii="Arial" w:hAnsi="Arial" w:cs="Arial"/>
                <w:b/>
                <w:bCs/>
                <w:sz w:val="20"/>
                <w:szCs w:val="20"/>
              </w:rPr>
            </w:pPr>
            <w:r w:rsidRPr="00AB32AE">
              <w:rPr>
                <w:rFonts w:ascii="Arial" w:hAnsi="Arial" w:cs="Arial"/>
                <w:b/>
                <w:bCs/>
                <w:sz w:val="20"/>
                <w:szCs w:val="20"/>
              </w:rPr>
              <w:t>(</w:t>
            </w:r>
            <w:r w:rsidR="00242380">
              <w:rPr>
                <w:rFonts w:ascii="Arial" w:hAnsi="Arial" w:cs="Arial"/>
                <w:b/>
                <w:bCs/>
                <w:sz w:val="20"/>
                <w:szCs w:val="20"/>
              </w:rPr>
              <w:t>2</w:t>
            </w:r>
            <w:r w:rsidR="001B7CF8">
              <w:rPr>
                <w:rFonts w:ascii="Arial" w:hAnsi="Arial" w:cs="Arial"/>
                <w:b/>
                <w:bCs/>
                <w:sz w:val="20"/>
                <w:szCs w:val="20"/>
              </w:rPr>
              <w:t>2</w:t>
            </w:r>
            <w:r w:rsidR="00242380">
              <w:rPr>
                <w:rFonts w:ascii="Arial" w:hAnsi="Arial" w:cs="Arial"/>
                <w:b/>
                <w:bCs/>
                <w:sz w:val="20"/>
                <w:szCs w:val="20"/>
              </w:rPr>
              <w:t>3</w:t>
            </w:r>
            <w:r w:rsidRPr="00AB32AE">
              <w:rPr>
                <w:rFonts w:ascii="Arial" w:hAnsi="Arial" w:cs="Arial"/>
                <w:b/>
                <w:bCs/>
                <w:sz w:val="20"/>
                <w:szCs w:val="20"/>
              </w:rPr>
              <w:t>)</w:t>
            </w:r>
          </w:p>
        </w:tc>
        <w:tc>
          <w:tcPr>
            <w:tcW w:w="1702" w:type="dxa"/>
            <w:tcBorders>
              <w:top w:val="nil"/>
              <w:left w:val="nil"/>
              <w:bottom w:val="nil"/>
            </w:tcBorders>
            <w:vAlign w:val="center"/>
          </w:tcPr>
          <w:p w14:paraId="5985517B" w14:textId="7B47209C" w:rsidR="00E53E22" w:rsidRPr="00AB32AE" w:rsidRDefault="00E53E22" w:rsidP="00FF031E">
            <w:pPr>
              <w:jc w:val="right"/>
              <w:rPr>
                <w:rFonts w:ascii="Arial" w:hAnsi="Arial" w:cs="Arial"/>
                <w:sz w:val="20"/>
                <w:szCs w:val="20"/>
              </w:rPr>
            </w:pPr>
            <w:r w:rsidRPr="00AB32AE">
              <w:rPr>
                <w:rFonts w:ascii="Arial" w:hAnsi="Arial" w:cs="Arial"/>
                <w:sz w:val="20"/>
                <w:szCs w:val="20"/>
              </w:rPr>
              <w:t>(</w:t>
            </w:r>
            <w:r w:rsidR="00242380">
              <w:rPr>
                <w:rFonts w:ascii="Arial" w:hAnsi="Arial" w:cs="Arial"/>
                <w:sz w:val="20"/>
                <w:szCs w:val="20"/>
              </w:rPr>
              <w:t>69</w:t>
            </w:r>
            <w:r w:rsidRPr="00AB32AE">
              <w:rPr>
                <w:rFonts w:ascii="Arial" w:hAnsi="Arial" w:cs="Arial"/>
                <w:sz w:val="20"/>
                <w:szCs w:val="20"/>
              </w:rPr>
              <w:t>)</w:t>
            </w:r>
          </w:p>
        </w:tc>
      </w:tr>
      <w:tr w:rsidR="00E53E22" w:rsidRPr="00AD4033" w14:paraId="3A1C9CF1" w14:textId="77777777" w:rsidTr="00FF031E">
        <w:trPr>
          <w:gridAfter w:val="1"/>
          <w:wAfter w:w="13" w:type="dxa"/>
        </w:trPr>
        <w:tc>
          <w:tcPr>
            <w:tcW w:w="6555" w:type="dxa"/>
            <w:tcBorders>
              <w:top w:val="nil"/>
              <w:bottom w:val="single" w:sz="4" w:space="0" w:color="auto"/>
              <w:right w:val="nil"/>
            </w:tcBorders>
            <w:vAlign w:val="bottom"/>
          </w:tcPr>
          <w:p w14:paraId="42C103A8" w14:textId="77777777" w:rsidR="00E53E22" w:rsidRPr="00AB32AE" w:rsidRDefault="00E53E22" w:rsidP="00FF031E">
            <w:pPr>
              <w:ind w:left="162"/>
              <w:rPr>
                <w:rFonts w:ascii="Arial" w:hAnsi="Arial" w:cs="Arial"/>
                <w:sz w:val="20"/>
                <w:szCs w:val="20"/>
              </w:rPr>
            </w:pPr>
            <w:r w:rsidRPr="00AB32AE">
              <w:rPr>
                <w:rFonts w:ascii="Arial" w:hAnsi="Arial" w:cs="Arial"/>
                <w:sz w:val="20"/>
                <w:szCs w:val="20"/>
              </w:rPr>
              <w:t>Accounts payable and accrued liabilities</w:t>
            </w:r>
          </w:p>
        </w:tc>
        <w:tc>
          <w:tcPr>
            <w:tcW w:w="1530" w:type="dxa"/>
            <w:tcBorders>
              <w:top w:val="nil"/>
              <w:left w:val="nil"/>
              <w:bottom w:val="single" w:sz="4" w:space="0" w:color="auto"/>
              <w:right w:val="nil"/>
            </w:tcBorders>
            <w:vAlign w:val="center"/>
          </w:tcPr>
          <w:p w14:paraId="01B62AE9" w14:textId="5CDC7B19" w:rsidR="00E53E22" w:rsidRPr="00AB32AE" w:rsidRDefault="00242380" w:rsidP="00FF031E">
            <w:pPr>
              <w:jc w:val="right"/>
              <w:rPr>
                <w:rFonts w:ascii="Arial" w:hAnsi="Arial" w:cs="Arial"/>
                <w:b/>
                <w:bCs/>
                <w:sz w:val="20"/>
                <w:szCs w:val="20"/>
              </w:rPr>
            </w:pPr>
            <w:r>
              <w:rPr>
                <w:rFonts w:ascii="Arial" w:hAnsi="Arial" w:cs="Arial"/>
                <w:b/>
                <w:bCs/>
                <w:sz w:val="20"/>
                <w:szCs w:val="20"/>
              </w:rPr>
              <w:t>132</w:t>
            </w:r>
          </w:p>
        </w:tc>
        <w:tc>
          <w:tcPr>
            <w:tcW w:w="1702" w:type="dxa"/>
            <w:tcBorders>
              <w:top w:val="nil"/>
              <w:left w:val="nil"/>
              <w:bottom w:val="single" w:sz="4" w:space="0" w:color="auto"/>
            </w:tcBorders>
            <w:vAlign w:val="center"/>
          </w:tcPr>
          <w:p w14:paraId="4498EF2E" w14:textId="1BF20688" w:rsidR="00E53E22" w:rsidRPr="00AB32AE" w:rsidRDefault="00E53E22" w:rsidP="00FF031E">
            <w:pPr>
              <w:jc w:val="right"/>
              <w:rPr>
                <w:rFonts w:ascii="Arial" w:hAnsi="Arial" w:cs="Arial"/>
                <w:sz w:val="20"/>
                <w:szCs w:val="20"/>
              </w:rPr>
            </w:pPr>
            <w:r w:rsidRPr="00AB32AE">
              <w:rPr>
                <w:rFonts w:ascii="Arial" w:hAnsi="Arial" w:cs="Arial"/>
                <w:sz w:val="20"/>
                <w:szCs w:val="20"/>
              </w:rPr>
              <w:t>(</w:t>
            </w:r>
            <w:r w:rsidR="00242380">
              <w:rPr>
                <w:rFonts w:ascii="Arial" w:hAnsi="Arial" w:cs="Arial"/>
                <w:sz w:val="20"/>
                <w:szCs w:val="20"/>
              </w:rPr>
              <w:t>628</w:t>
            </w:r>
            <w:r w:rsidRPr="00AB32AE">
              <w:rPr>
                <w:rFonts w:ascii="Arial" w:hAnsi="Arial" w:cs="Arial"/>
                <w:sz w:val="20"/>
                <w:szCs w:val="20"/>
              </w:rPr>
              <w:t>)</w:t>
            </w:r>
          </w:p>
        </w:tc>
      </w:tr>
      <w:tr w:rsidR="00E53E22" w:rsidRPr="00AD4033" w14:paraId="245AEC26" w14:textId="77777777" w:rsidTr="00FF031E">
        <w:trPr>
          <w:gridAfter w:val="1"/>
          <w:wAfter w:w="13" w:type="dxa"/>
        </w:trPr>
        <w:tc>
          <w:tcPr>
            <w:tcW w:w="6555" w:type="dxa"/>
            <w:tcBorders>
              <w:top w:val="single" w:sz="4" w:space="0" w:color="auto"/>
              <w:bottom w:val="nil"/>
              <w:right w:val="nil"/>
            </w:tcBorders>
            <w:vAlign w:val="bottom"/>
          </w:tcPr>
          <w:p w14:paraId="76BDA33D" w14:textId="77777777" w:rsidR="00E53E22" w:rsidRPr="00AB32AE" w:rsidRDefault="00E53E22" w:rsidP="00FF031E">
            <w:pPr>
              <w:rPr>
                <w:rFonts w:ascii="Arial" w:hAnsi="Arial" w:cs="Arial"/>
                <w:sz w:val="20"/>
                <w:szCs w:val="20"/>
              </w:rPr>
            </w:pPr>
            <w:r w:rsidRPr="00AB32AE">
              <w:rPr>
                <w:rFonts w:ascii="Arial" w:hAnsi="Arial" w:cs="Arial"/>
                <w:b/>
                <w:sz w:val="20"/>
                <w:szCs w:val="20"/>
              </w:rPr>
              <w:t>Net cash used in operating activities</w:t>
            </w:r>
          </w:p>
        </w:tc>
        <w:tc>
          <w:tcPr>
            <w:tcW w:w="1530" w:type="dxa"/>
            <w:tcBorders>
              <w:top w:val="single" w:sz="4" w:space="0" w:color="auto"/>
              <w:left w:val="nil"/>
              <w:bottom w:val="nil"/>
              <w:right w:val="nil"/>
            </w:tcBorders>
            <w:vAlign w:val="bottom"/>
          </w:tcPr>
          <w:p w14:paraId="642C4542" w14:textId="7D432A4F" w:rsidR="00E53E22" w:rsidRPr="00AB32AE" w:rsidRDefault="00E53E22" w:rsidP="00FF031E">
            <w:pPr>
              <w:jc w:val="right"/>
              <w:rPr>
                <w:rFonts w:ascii="Arial" w:hAnsi="Arial" w:cs="Arial"/>
                <w:b/>
                <w:bCs/>
                <w:sz w:val="20"/>
                <w:szCs w:val="20"/>
              </w:rPr>
            </w:pPr>
            <w:r w:rsidRPr="00AB32AE">
              <w:rPr>
                <w:rFonts w:ascii="Arial" w:hAnsi="Arial" w:cs="Arial"/>
                <w:b/>
                <w:bCs/>
                <w:sz w:val="20"/>
                <w:szCs w:val="20"/>
              </w:rPr>
              <w:t>(1,</w:t>
            </w:r>
            <w:r w:rsidR="00242380">
              <w:rPr>
                <w:rFonts w:ascii="Arial" w:hAnsi="Arial" w:cs="Arial"/>
                <w:b/>
                <w:bCs/>
                <w:sz w:val="20"/>
                <w:szCs w:val="20"/>
              </w:rPr>
              <w:t>333</w:t>
            </w:r>
            <w:r w:rsidRPr="00AB32AE">
              <w:rPr>
                <w:rFonts w:ascii="Arial" w:hAnsi="Arial" w:cs="Arial"/>
                <w:b/>
                <w:bCs/>
                <w:sz w:val="20"/>
                <w:szCs w:val="20"/>
              </w:rPr>
              <w:t>)</w:t>
            </w:r>
          </w:p>
        </w:tc>
        <w:tc>
          <w:tcPr>
            <w:tcW w:w="1702" w:type="dxa"/>
            <w:tcBorders>
              <w:top w:val="single" w:sz="4" w:space="0" w:color="auto"/>
              <w:left w:val="nil"/>
              <w:bottom w:val="nil"/>
            </w:tcBorders>
            <w:vAlign w:val="bottom"/>
          </w:tcPr>
          <w:p w14:paraId="1169D69C" w14:textId="649CD336" w:rsidR="00E53E22" w:rsidRPr="00AB32AE" w:rsidRDefault="00E53E22" w:rsidP="00FF031E">
            <w:pPr>
              <w:jc w:val="right"/>
              <w:rPr>
                <w:rFonts w:ascii="Arial" w:hAnsi="Arial" w:cs="Arial"/>
                <w:sz w:val="20"/>
                <w:szCs w:val="20"/>
              </w:rPr>
            </w:pPr>
            <w:r w:rsidRPr="00AB32AE">
              <w:rPr>
                <w:rFonts w:ascii="Arial" w:hAnsi="Arial" w:cs="Arial"/>
                <w:sz w:val="20"/>
                <w:szCs w:val="20"/>
              </w:rPr>
              <w:t>(</w:t>
            </w:r>
            <w:r w:rsidR="00DE60D4" w:rsidRPr="00AB32AE">
              <w:rPr>
                <w:rFonts w:ascii="Arial" w:hAnsi="Arial" w:cs="Arial"/>
                <w:sz w:val="20"/>
                <w:szCs w:val="20"/>
              </w:rPr>
              <w:t>1,</w:t>
            </w:r>
            <w:r w:rsidR="00242380">
              <w:rPr>
                <w:rFonts w:ascii="Arial" w:hAnsi="Arial" w:cs="Arial"/>
                <w:sz w:val="20"/>
                <w:szCs w:val="20"/>
              </w:rPr>
              <w:t>097</w:t>
            </w:r>
            <w:r w:rsidRPr="00AB32AE">
              <w:rPr>
                <w:rFonts w:ascii="Arial" w:hAnsi="Arial" w:cs="Arial"/>
                <w:sz w:val="20"/>
                <w:szCs w:val="20"/>
              </w:rPr>
              <w:t>)</w:t>
            </w:r>
          </w:p>
        </w:tc>
      </w:tr>
      <w:tr w:rsidR="00E53E22" w:rsidRPr="00AD4033" w14:paraId="3CCB16D7" w14:textId="77777777" w:rsidTr="00FF031E">
        <w:trPr>
          <w:gridAfter w:val="1"/>
          <w:wAfter w:w="13" w:type="dxa"/>
        </w:trPr>
        <w:tc>
          <w:tcPr>
            <w:tcW w:w="6555" w:type="dxa"/>
            <w:tcBorders>
              <w:top w:val="nil"/>
              <w:bottom w:val="nil"/>
              <w:right w:val="nil"/>
            </w:tcBorders>
            <w:vAlign w:val="bottom"/>
          </w:tcPr>
          <w:p w14:paraId="4F22409A" w14:textId="77777777" w:rsidR="00E53E22" w:rsidRPr="00AB32AE" w:rsidRDefault="00E53E22" w:rsidP="00FF031E">
            <w:pPr>
              <w:rPr>
                <w:rFonts w:ascii="Arial" w:hAnsi="Arial" w:cs="Arial"/>
                <w:sz w:val="20"/>
                <w:szCs w:val="20"/>
              </w:rPr>
            </w:pPr>
          </w:p>
        </w:tc>
        <w:tc>
          <w:tcPr>
            <w:tcW w:w="1530" w:type="dxa"/>
            <w:tcBorders>
              <w:top w:val="nil"/>
              <w:left w:val="nil"/>
              <w:bottom w:val="nil"/>
              <w:right w:val="nil"/>
            </w:tcBorders>
            <w:vAlign w:val="bottom"/>
          </w:tcPr>
          <w:p w14:paraId="701522C4"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bottom"/>
          </w:tcPr>
          <w:p w14:paraId="75E3BCB3" w14:textId="77777777" w:rsidR="00E53E22" w:rsidRPr="00AB32AE" w:rsidRDefault="00E53E22" w:rsidP="00FF031E">
            <w:pPr>
              <w:jc w:val="right"/>
              <w:rPr>
                <w:rFonts w:ascii="Arial" w:hAnsi="Arial" w:cs="Arial"/>
                <w:sz w:val="20"/>
                <w:szCs w:val="20"/>
              </w:rPr>
            </w:pPr>
          </w:p>
        </w:tc>
      </w:tr>
      <w:tr w:rsidR="00E53E22" w:rsidRPr="00AD4033" w14:paraId="2587A1BE" w14:textId="77777777" w:rsidTr="00FF031E">
        <w:trPr>
          <w:gridAfter w:val="1"/>
          <w:wAfter w:w="13" w:type="dxa"/>
        </w:trPr>
        <w:tc>
          <w:tcPr>
            <w:tcW w:w="6555" w:type="dxa"/>
            <w:tcBorders>
              <w:top w:val="nil"/>
              <w:bottom w:val="nil"/>
              <w:right w:val="nil"/>
            </w:tcBorders>
            <w:vAlign w:val="bottom"/>
          </w:tcPr>
          <w:p w14:paraId="5637FAAA" w14:textId="77777777" w:rsidR="00E53E22" w:rsidRPr="00AB32AE" w:rsidRDefault="00E53E22" w:rsidP="00FF031E">
            <w:pPr>
              <w:rPr>
                <w:rFonts w:ascii="Arial" w:hAnsi="Arial" w:cs="Arial"/>
                <w:sz w:val="20"/>
                <w:szCs w:val="20"/>
              </w:rPr>
            </w:pPr>
            <w:r w:rsidRPr="00AB32AE">
              <w:rPr>
                <w:rFonts w:ascii="Arial" w:eastAsia="Arial" w:hAnsi="Arial" w:cs="Arial"/>
                <w:b/>
                <w:sz w:val="20"/>
                <w:szCs w:val="20"/>
              </w:rPr>
              <w:t>Investing activities</w:t>
            </w:r>
          </w:p>
        </w:tc>
        <w:tc>
          <w:tcPr>
            <w:tcW w:w="1530" w:type="dxa"/>
            <w:tcBorders>
              <w:top w:val="nil"/>
              <w:left w:val="nil"/>
              <w:bottom w:val="nil"/>
              <w:right w:val="nil"/>
            </w:tcBorders>
            <w:vAlign w:val="bottom"/>
          </w:tcPr>
          <w:p w14:paraId="3C982D51"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bottom"/>
          </w:tcPr>
          <w:p w14:paraId="350F42EF" w14:textId="77777777" w:rsidR="00E53E22" w:rsidRPr="00AB32AE" w:rsidRDefault="00E53E22" w:rsidP="00FF031E">
            <w:pPr>
              <w:jc w:val="right"/>
              <w:rPr>
                <w:rFonts w:ascii="Arial" w:hAnsi="Arial" w:cs="Arial"/>
                <w:sz w:val="20"/>
                <w:szCs w:val="20"/>
              </w:rPr>
            </w:pPr>
          </w:p>
        </w:tc>
      </w:tr>
      <w:tr w:rsidR="00E53E22" w:rsidRPr="00AD4033" w14:paraId="2F115419" w14:textId="77777777" w:rsidTr="00FF031E">
        <w:trPr>
          <w:gridAfter w:val="1"/>
          <w:wAfter w:w="13" w:type="dxa"/>
        </w:trPr>
        <w:tc>
          <w:tcPr>
            <w:tcW w:w="6555" w:type="dxa"/>
            <w:tcBorders>
              <w:top w:val="nil"/>
              <w:bottom w:val="nil"/>
              <w:right w:val="nil"/>
            </w:tcBorders>
          </w:tcPr>
          <w:p w14:paraId="5F54C479" w14:textId="77777777" w:rsidR="00E53E22" w:rsidRPr="00AB32AE" w:rsidRDefault="00E53E22" w:rsidP="00FF031E">
            <w:pPr>
              <w:rPr>
                <w:rFonts w:ascii="Arial" w:hAnsi="Arial" w:cs="Arial"/>
                <w:sz w:val="20"/>
                <w:szCs w:val="20"/>
              </w:rPr>
            </w:pPr>
            <w:r w:rsidRPr="00AB32AE">
              <w:rPr>
                <w:rFonts w:ascii="Arial" w:hAnsi="Arial" w:cs="Arial"/>
                <w:sz w:val="20"/>
                <w:szCs w:val="20"/>
              </w:rPr>
              <w:t>Purchase of property and equipment</w:t>
            </w:r>
          </w:p>
        </w:tc>
        <w:tc>
          <w:tcPr>
            <w:tcW w:w="1530" w:type="dxa"/>
            <w:tcBorders>
              <w:top w:val="nil"/>
              <w:left w:val="nil"/>
              <w:bottom w:val="nil"/>
              <w:right w:val="nil"/>
            </w:tcBorders>
            <w:vAlign w:val="bottom"/>
          </w:tcPr>
          <w:p w14:paraId="5202369D" w14:textId="54B1A72E" w:rsidR="00E53E22" w:rsidRPr="00AB32AE" w:rsidRDefault="00962DA3" w:rsidP="00FF031E">
            <w:pPr>
              <w:ind w:left="162"/>
              <w:jc w:val="right"/>
              <w:rPr>
                <w:rFonts w:ascii="Arial" w:hAnsi="Arial" w:cs="Arial"/>
                <w:b/>
                <w:bCs/>
                <w:sz w:val="20"/>
                <w:szCs w:val="20"/>
              </w:rPr>
            </w:pPr>
            <w:r>
              <w:rPr>
                <w:rFonts w:ascii="Arial" w:hAnsi="Arial" w:cs="Arial"/>
                <w:b/>
                <w:bCs/>
                <w:sz w:val="20"/>
                <w:szCs w:val="20"/>
              </w:rPr>
              <w:t>(22)</w:t>
            </w:r>
          </w:p>
        </w:tc>
        <w:tc>
          <w:tcPr>
            <w:tcW w:w="1702" w:type="dxa"/>
            <w:tcBorders>
              <w:top w:val="nil"/>
              <w:left w:val="nil"/>
              <w:bottom w:val="nil"/>
            </w:tcBorders>
            <w:vAlign w:val="bottom"/>
          </w:tcPr>
          <w:p w14:paraId="39F60B03" w14:textId="1FBC3E3C" w:rsidR="00E53E22" w:rsidRPr="00AB32AE" w:rsidRDefault="00962DA3" w:rsidP="00FF031E">
            <w:pPr>
              <w:jc w:val="right"/>
              <w:rPr>
                <w:rFonts w:ascii="Arial" w:hAnsi="Arial" w:cs="Arial"/>
                <w:sz w:val="20"/>
                <w:szCs w:val="20"/>
              </w:rPr>
            </w:pPr>
            <w:r>
              <w:rPr>
                <w:rFonts w:ascii="Arial" w:hAnsi="Arial" w:cs="Arial"/>
                <w:sz w:val="20"/>
                <w:szCs w:val="20"/>
              </w:rPr>
              <w:t>-</w:t>
            </w:r>
          </w:p>
        </w:tc>
      </w:tr>
      <w:tr w:rsidR="00E53E22" w:rsidRPr="00AD4033" w14:paraId="1A3BC13A" w14:textId="77777777" w:rsidTr="00FF031E">
        <w:trPr>
          <w:gridAfter w:val="1"/>
          <w:wAfter w:w="13" w:type="dxa"/>
        </w:trPr>
        <w:tc>
          <w:tcPr>
            <w:tcW w:w="6555" w:type="dxa"/>
            <w:tcBorders>
              <w:top w:val="nil"/>
              <w:bottom w:val="single" w:sz="8" w:space="0" w:color="auto"/>
              <w:right w:val="nil"/>
            </w:tcBorders>
          </w:tcPr>
          <w:p w14:paraId="46D40D09" w14:textId="77777777" w:rsidR="00E53E22" w:rsidRPr="00AB32AE" w:rsidRDefault="00E53E22" w:rsidP="00FF031E">
            <w:pPr>
              <w:rPr>
                <w:rFonts w:ascii="Arial" w:hAnsi="Arial" w:cs="Arial"/>
                <w:sz w:val="20"/>
                <w:szCs w:val="20"/>
              </w:rPr>
            </w:pPr>
            <w:r w:rsidRPr="00AB32AE">
              <w:rPr>
                <w:rFonts w:ascii="Arial" w:hAnsi="Arial" w:cs="Arial"/>
                <w:sz w:val="20"/>
                <w:szCs w:val="20"/>
              </w:rPr>
              <w:t>Exploration and evaluation expenditures</w:t>
            </w:r>
          </w:p>
        </w:tc>
        <w:tc>
          <w:tcPr>
            <w:tcW w:w="1530" w:type="dxa"/>
            <w:tcBorders>
              <w:top w:val="nil"/>
              <w:left w:val="nil"/>
              <w:bottom w:val="single" w:sz="8" w:space="0" w:color="auto"/>
              <w:right w:val="nil"/>
            </w:tcBorders>
            <w:vAlign w:val="bottom"/>
          </w:tcPr>
          <w:p w14:paraId="5004F6D3" w14:textId="6B71A70A" w:rsidR="00E53E22" w:rsidRPr="00AB32AE" w:rsidRDefault="00E53E22" w:rsidP="00FF031E">
            <w:pPr>
              <w:ind w:left="162"/>
              <w:jc w:val="right"/>
              <w:rPr>
                <w:rFonts w:ascii="Arial" w:hAnsi="Arial" w:cs="Arial"/>
                <w:b/>
                <w:bCs/>
                <w:sz w:val="20"/>
                <w:szCs w:val="20"/>
              </w:rPr>
            </w:pPr>
            <w:r w:rsidRPr="00AB32AE">
              <w:rPr>
                <w:rFonts w:ascii="Arial" w:hAnsi="Arial" w:cs="Arial"/>
                <w:b/>
                <w:bCs/>
                <w:sz w:val="20"/>
                <w:szCs w:val="20"/>
              </w:rPr>
              <w:t>(</w:t>
            </w:r>
            <w:r w:rsidR="00962DA3">
              <w:rPr>
                <w:rFonts w:ascii="Arial" w:hAnsi="Arial" w:cs="Arial"/>
                <w:b/>
                <w:bCs/>
                <w:sz w:val="20"/>
                <w:szCs w:val="20"/>
              </w:rPr>
              <w:t>1,</w:t>
            </w:r>
            <w:r w:rsidR="00DE60D4" w:rsidRPr="00AB32AE">
              <w:rPr>
                <w:rFonts w:ascii="Arial" w:hAnsi="Arial" w:cs="Arial"/>
                <w:b/>
                <w:bCs/>
                <w:sz w:val="20"/>
                <w:szCs w:val="20"/>
              </w:rPr>
              <w:t>7</w:t>
            </w:r>
            <w:r w:rsidR="00962DA3">
              <w:rPr>
                <w:rFonts w:ascii="Arial" w:hAnsi="Arial" w:cs="Arial"/>
                <w:b/>
                <w:bCs/>
                <w:sz w:val="20"/>
                <w:szCs w:val="20"/>
              </w:rPr>
              <w:t>93</w:t>
            </w:r>
            <w:r w:rsidRPr="00AB32AE">
              <w:rPr>
                <w:rFonts w:ascii="Arial" w:hAnsi="Arial" w:cs="Arial"/>
                <w:b/>
                <w:bCs/>
                <w:sz w:val="20"/>
                <w:szCs w:val="20"/>
              </w:rPr>
              <w:t>)</w:t>
            </w:r>
          </w:p>
        </w:tc>
        <w:tc>
          <w:tcPr>
            <w:tcW w:w="1702" w:type="dxa"/>
            <w:tcBorders>
              <w:top w:val="nil"/>
              <w:left w:val="nil"/>
              <w:bottom w:val="single" w:sz="8" w:space="0" w:color="auto"/>
            </w:tcBorders>
            <w:vAlign w:val="bottom"/>
          </w:tcPr>
          <w:p w14:paraId="697DCD59" w14:textId="43DF6A20" w:rsidR="00E53E22" w:rsidRPr="00AB32AE" w:rsidRDefault="00E53E22" w:rsidP="00FF031E">
            <w:pPr>
              <w:jc w:val="right"/>
              <w:rPr>
                <w:rFonts w:ascii="Arial" w:hAnsi="Arial" w:cs="Arial"/>
                <w:sz w:val="20"/>
                <w:szCs w:val="20"/>
              </w:rPr>
            </w:pPr>
            <w:r w:rsidRPr="00AB32AE">
              <w:rPr>
                <w:rFonts w:ascii="Arial" w:hAnsi="Arial" w:cs="Arial"/>
                <w:sz w:val="20"/>
                <w:szCs w:val="20"/>
              </w:rPr>
              <w:t>(</w:t>
            </w:r>
            <w:r w:rsidR="00962DA3">
              <w:rPr>
                <w:rFonts w:ascii="Arial" w:hAnsi="Arial" w:cs="Arial"/>
                <w:sz w:val="20"/>
                <w:szCs w:val="20"/>
              </w:rPr>
              <w:t>268</w:t>
            </w:r>
            <w:r w:rsidRPr="00AB32AE">
              <w:rPr>
                <w:rFonts w:ascii="Arial" w:hAnsi="Arial" w:cs="Arial"/>
                <w:sz w:val="20"/>
                <w:szCs w:val="20"/>
              </w:rPr>
              <w:t>)</w:t>
            </w:r>
          </w:p>
        </w:tc>
      </w:tr>
      <w:tr w:rsidR="00E53E22" w:rsidRPr="00AD4033" w14:paraId="37483888" w14:textId="77777777" w:rsidTr="00FF031E">
        <w:trPr>
          <w:gridAfter w:val="1"/>
          <w:wAfter w:w="13" w:type="dxa"/>
        </w:trPr>
        <w:tc>
          <w:tcPr>
            <w:tcW w:w="6555" w:type="dxa"/>
            <w:tcBorders>
              <w:top w:val="single" w:sz="8" w:space="0" w:color="auto"/>
              <w:bottom w:val="nil"/>
              <w:right w:val="nil"/>
            </w:tcBorders>
            <w:vAlign w:val="bottom"/>
          </w:tcPr>
          <w:p w14:paraId="01708526" w14:textId="77777777" w:rsidR="00E53E22" w:rsidRPr="00AB32AE" w:rsidRDefault="00E53E22" w:rsidP="00FF031E">
            <w:pPr>
              <w:rPr>
                <w:rFonts w:ascii="Arial" w:hAnsi="Arial" w:cs="Arial"/>
                <w:sz w:val="20"/>
                <w:szCs w:val="20"/>
              </w:rPr>
            </w:pPr>
            <w:r w:rsidRPr="00AB32AE">
              <w:rPr>
                <w:rFonts w:ascii="Arial" w:hAnsi="Arial" w:cs="Arial"/>
                <w:b/>
                <w:sz w:val="20"/>
                <w:szCs w:val="20"/>
              </w:rPr>
              <w:t>Net cash used in investing activities</w:t>
            </w:r>
          </w:p>
        </w:tc>
        <w:tc>
          <w:tcPr>
            <w:tcW w:w="1530" w:type="dxa"/>
            <w:tcBorders>
              <w:top w:val="single" w:sz="8" w:space="0" w:color="auto"/>
              <w:left w:val="nil"/>
              <w:bottom w:val="nil"/>
              <w:right w:val="nil"/>
            </w:tcBorders>
            <w:vAlign w:val="bottom"/>
          </w:tcPr>
          <w:p w14:paraId="54B0A353" w14:textId="46E8B1AB" w:rsidR="00E53E22" w:rsidRPr="00AB32AE" w:rsidRDefault="00E53E22" w:rsidP="00FF031E">
            <w:pPr>
              <w:jc w:val="right"/>
              <w:rPr>
                <w:rFonts w:ascii="Arial" w:hAnsi="Arial" w:cs="Arial"/>
                <w:b/>
                <w:bCs/>
                <w:sz w:val="20"/>
                <w:szCs w:val="20"/>
              </w:rPr>
            </w:pPr>
            <w:r w:rsidRPr="00AB32AE">
              <w:rPr>
                <w:rFonts w:ascii="Arial" w:hAnsi="Arial" w:cs="Arial"/>
                <w:b/>
                <w:bCs/>
                <w:sz w:val="20"/>
                <w:szCs w:val="20"/>
              </w:rPr>
              <w:t>(</w:t>
            </w:r>
            <w:r w:rsidR="00962DA3">
              <w:rPr>
                <w:rFonts w:ascii="Arial" w:hAnsi="Arial" w:cs="Arial"/>
                <w:b/>
                <w:bCs/>
                <w:sz w:val="20"/>
                <w:szCs w:val="20"/>
              </w:rPr>
              <w:t>1,815</w:t>
            </w:r>
            <w:r w:rsidRPr="00AB32AE">
              <w:rPr>
                <w:rFonts w:ascii="Arial" w:hAnsi="Arial" w:cs="Arial"/>
                <w:b/>
                <w:bCs/>
                <w:sz w:val="20"/>
                <w:szCs w:val="20"/>
              </w:rPr>
              <w:t>)</w:t>
            </w:r>
          </w:p>
        </w:tc>
        <w:tc>
          <w:tcPr>
            <w:tcW w:w="1702" w:type="dxa"/>
            <w:tcBorders>
              <w:top w:val="single" w:sz="8" w:space="0" w:color="auto"/>
              <w:left w:val="nil"/>
              <w:bottom w:val="nil"/>
            </w:tcBorders>
            <w:vAlign w:val="bottom"/>
          </w:tcPr>
          <w:p w14:paraId="17767A8D" w14:textId="48085319" w:rsidR="00E53E22" w:rsidRPr="00AB32AE" w:rsidRDefault="00E53E22" w:rsidP="00FF031E">
            <w:pPr>
              <w:jc w:val="right"/>
              <w:rPr>
                <w:rFonts w:ascii="Arial" w:hAnsi="Arial" w:cs="Arial"/>
                <w:sz w:val="20"/>
                <w:szCs w:val="20"/>
              </w:rPr>
            </w:pPr>
            <w:r w:rsidRPr="00AB32AE">
              <w:rPr>
                <w:rFonts w:ascii="Arial" w:hAnsi="Arial" w:cs="Arial"/>
                <w:sz w:val="20"/>
                <w:szCs w:val="20"/>
              </w:rPr>
              <w:t>(</w:t>
            </w:r>
            <w:r w:rsidR="00962DA3">
              <w:rPr>
                <w:rFonts w:ascii="Arial" w:hAnsi="Arial" w:cs="Arial"/>
                <w:sz w:val="20"/>
                <w:szCs w:val="20"/>
              </w:rPr>
              <w:t>268</w:t>
            </w:r>
            <w:r w:rsidRPr="00AB32AE">
              <w:rPr>
                <w:rFonts w:ascii="Arial" w:hAnsi="Arial" w:cs="Arial"/>
                <w:sz w:val="20"/>
                <w:szCs w:val="20"/>
              </w:rPr>
              <w:t>)</w:t>
            </w:r>
          </w:p>
        </w:tc>
      </w:tr>
      <w:tr w:rsidR="00E53E22" w:rsidRPr="00AD4033" w14:paraId="6B3625A7" w14:textId="77777777" w:rsidTr="00FF031E">
        <w:trPr>
          <w:gridAfter w:val="1"/>
          <w:wAfter w:w="13" w:type="dxa"/>
        </w:trPr>
        <w:tc>
          <w:tcPr>
            <w:tcW w:w="6555" w:type="dxa"/>
            <w:tcBorders>
              <w:top w:val="nil"/>
              <w:bottom w:val="nil"/>
              <w:right w:val="nil"/>
            </w:tcBorders>
          </w:tcPr>
          <w:p w14:paraId="68AD93EB" w14:textId="77777777" w:rsidR="00E53E22" w:rsidRPr="00AB32AE" w:rsidRDefault="00E53E22" w:rsidP="00FF031E">
            <w:pPr>
              <w:rPr>
                <w:rFonts w:ascii="Arial" w:hAnsi="Arial" w:cs="Arial"/>
                <w:b/>
                <w:sz w:val="20"/>
                <w:szCs w:val="20"/>
              </w:rPr>
            </w:pPr>
          </w:p>
        </w:tc>
        <w:tc>
          <w:tcPr>
            <w:tcW w:w="1530" w:type="dxa"/>
            <w:tcBorders>
              <w:top w:val="nil"/>
              <w:left w:val="nil"/>
              <w:bottom w:val="nil"/>
              <w:right w:val="nil"/>
            </w:tcBorders>
            <w:vAlign w:val="bottom"/>
          </w:tcPr>
          <w:p w14:paraId="66108865"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bottom"/>
          </w:tcPr>
          <w:p w14:paraId="234D655B" w14:textId="77777777" w:rsidR="00E53E22" w:rsidRPr="00AB32AE" w:rsidRDefault="00E53E22" w:rsidP="00FF031E">
            <w:pPr>
              <w:jc w:val="right"/>
              <w:rPr>
                <w:rFonts w:ascii="Arial" w:hAnsi="Arial" w:cs="Arial"/>
                <w:sz w:val="20"/>
                <w:szCs w:val="20"/>
              </w:rPr>
            </w:pPr>
          </w:p>
        </w:tc>
      </w:tr>
      <w:tr w:rsidR="00E53E22" w:rsidRPr="00AD4033" w14:paraId="5AAAC6E1" w14:textId="77777777" w:rsidTr="00DE60D4">
        <w:trPr>
          <w:gridAfter w:val="1"/>
          <w:wAfter w:w="13" w:type="dxa"/>
        </w:trPr>
        <w:tc>
          <w:tcPr>
            <w:tcW w:w="6555" w:type="dxa"/>
            <w:tcBorders>
              <w:top w:val="nil"/>
              <w:bottom w:val="nil"/>
              <w:right w:val="nil"/>
            </w:tcBorders>
          </w:tcPr>
          <w:p w14:paraId="174F7075" w14:textId="77777777" w:rsidR="00E53E22" w:rsidRPr="00AB32AE" w:rsidRDefault="00E53E22" w:rsidP="00FF031E">
            <w:pPr>
              <w:rPr>
                <w:rFonts w:ascii="Arial" w:hAnsi="Arial" w:cs="Arial"/>
                <w:b/>
                <w:sz w:val="20"/>
                <w:szCs w:val="20"/>
              </w:rPr>
            </w:pPr>
            <w:r w:rsidRPr="00AB32AE">
              <w:rPr>
                <w:rFonts w:ascii="Arial" w:eastAsia="Arial" w:hAnsi="Arial" w:cs="Arial"/>
                <w:b/>
                <w:sz w:val="20"/>
                <w:szCs w:val="20"/>
              </w:rPr>
              <w:t>Financing activities</w:t>
            </w:r>
          </w:p>
        </w:tc>
        <w:tc>
          <w:tcPr>
            <w:tcW w:w="1530" w:type="dxa"/>
            <w:tcBorders>
              <w:top w:val="nil"/>
              <w:left w:val="nil"/>
              <w:bottom w:val="nil"/>
              <w:right w:val="nil"/>
            </w:tcBorders>
            <w:vAlign w:val="bottom"/>
          </w:tcPr>
          <w:p w14:paraId="5D99E47C"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bottom"/>
          </w:tcPr>
          <w:p w14:paraId="73DF5AC9" w14:textId="77777777" w:rsidR="00E53E22" w:rsidRPr="00AB32AE" w:rsidRDefault="00E53E22" w:rsidP="00FF031E">
            <w:pPr>
              <w:jc w:val="right"/>
              <w:rPr>
                <w:rFonts w:ascii="Arial" w:hAnsi="Arial" w:cs="Arial"/>
                <w:sz w:val="20"/>
                <w:szCs w:val="20"/>
              </w:rPr>
            </w:pPr>
          </w:p>
        </w:tc>
      </w:tr>
      <w:tr w:rsidR="00DE60D4" w:rsidRPr="00AD4033" w14:paraId="71BD44DB" w14:textId="77777777" w:rsidTr="00FF031E">
        <w:trPr>
          <w:gridAfter w:val="1"/>
          <w:wAfter w:w="13" w:type="dxa"/>
        </w:trPr>
        <w:tc>
          <w:tcPr>
            <w:tcW w:w="6555" w:type="dxa"/>
            <w:tcBorders>
              <w:top w:val="nil"/>
              <w:bottom w:val="nil"/>
              <w:right w:val="nil"/>
            </w:tcBorders>
          </w:tcPr>
          <w:p w14:paraId="4D1FFA9F" w14:textId="40D0A2FA" w:rsidR="00DE60D4" w:rsidRPr="00AB32AE" w:rsidRDefault="00DE60D4" w:rsidP="00FF031E">
            <w:pPr>
              <w:rPr>
                <w:rFonts w:ascii="Arial" w:hAnsi="Arial" w:cs="Arial"/>
                <w:sz w:val="20"/>
                <w:szCs w:val="20"/>
              </w:rPr>
            </w:pPr>
            <w:r w:rsidRPr="00AB32AE">
              <w:rPr>
                <w:rFonts w:ascii="Arial" w:hAnsi="Arial" w:cs="Arial"/>
                <w:sz w:val="20"/>
                <w:szCs w:val="20"/>
              </w:rPr>
              <w:t>Proceeds from issue of common shares, net of shares issuance cost</w:t>
            </w:r>
          </w:p>
        </w:tc>
        <w:tc>
          <w:tcPr>
            <w:tcW w:w="1530" w:type="dxa"/>
            <w:tcBorders>
              <w:top w:val="nil"/>
              <w:left w:val="nil"/>
              <w:bottom w:val="nil"/>
              <w:right w:val="nil"/>
            </w:tcBorders>
            <w:vAlign w:val="bottom"/>
          </w:tcPr>
          <w:p w14:paraId="5EDE8BE3" w14:textId="2DDD55A7" w:rsidR="00DE60D4" w:rsidRPr="00AB32AE" w:rsidRDefault="00962DA3" w:rsidP="00FF031E">
            <w:pPr>
              <w:ind w:left="162"/>
              <w:jc w:val="right"/>
              <w:rPr>
                <w:rFonts w:ascii="Arial" w:hAnsi="Arial" w:cs="Arial"/>
                <w:b/>
                <w:bCs/>
                <w:sz w:val="20"/>
                <w:szCs w:val="20"/>
              </w:rPr>
            </w:pPr>
            <w:r>
              <w:rPr>
                <w:rFonts w:ascii="Arial" w:hAnsi="Arial" w:cs="Arial"/>
                <w:b/>
                <w:bCs/>
                <w:sz w:val="20"/>
                <w:szCs w:val="20"/>
              </w:rPr>
              <w:t>13,137</w:t>
            </w:r>
          </w:p>
        </w:tc>
        <w:tc>
          <w:tcPr>
            <w:tcW w:w="1702" w:type="dxa"/>
            <w:tcBorders>
              <w:top w:val="nil"/>
              <w:left w:val="nil"/>
              <w:bottom w:val="nil"/>
            </w:tcBorders>
            <w:vAlign w:val="bottom"/>
          </w:tcPr>
          <w:p w14:paraId="1AA97369" w14:textId="4417BCA8" w:rsidR="00DE60D4" w:rsidRPr="00AB32AE" w:rsidRDefault="00962DA3" w:rsidP="00FF031E">
            <w:pPr>
              <w:jc w:val="right"/>
              <w:rPr>
                <w:rFonts w:ascii="Arial" w:hAnsi="Arial" w:cs="Arial"/>
                <w:sz w:val="20"/>
                <w:szCs w:val="20"/>
              </w:rPr>
            </w:pPr>
            <w:r>
              <w:rPr>
                <w:rFonts w:ascii="Arial" w:hAnsi="Arial" w:cs="Arial"/>
                <w:sz w:val="20"/>
                <w:szCs w:val="20"/>
              </w:rPr>
              <w:t>952</w:t>
            </w:r>
          </w:p>
        </w:tc>
      </w:tr>
      <w:tr w:rsidR="00DE60D4" w:rsidRPr="00AD4033" w14:paraId="69FBD504" w14:textId="77777777" w:rsidTr="00FF031E">
        <w:trPr>
          <w:gridAfter w:val="1"/>
          <w:wAfter w:w="13" w:type="dxa"/>
        </w:trPr>
        <w:tc>
          <w:tcPr>
            <w:tcW w:w="6555" w:type="dxa"/>
            <w:tcBorders>
              <w:top w:val="nil"/>
              <w:bottom w:val="nil"/>
              <w:right w:val="nil"/>
            </w:tcBorders>
          </w:tcPr>
          <w:p w14:paraId="2158C92D" w14:textId="792A827D" w:rsidR="00DE60D4" w:rsidRPr="00AB32AE" w:rsidRDefault="00DE60D4" w:rsidP="00FF031E">
            <w:pPr>
              <w:rPr>
                <w:rFonts w:ascii="Arial" w:hAnsi="Arial" w:cs="Arial"/>
                <w:sz w:val="20"/>
                <w:szCs w:val="20"/>
              </w:rPr>
            </w:pPr>
            <w:r w:rsidRPr="00AB32AE">
              <w:rPr>
                <w:rFonts w:ascii="Arial" w:hAnsi="Arial" w:cs="Arial"/>
                <w:sz w:val="20"/>
                <w:szCs w:val="20"/>
              </w:rPr>
              <w:t>Proceeds from exercise of options</w:t>
            </w:r>
          </w:p>
        </w:tc>
        <w:tc>
          <w:tcPr>
            <w:tcW w:w="1530" w:type="dxa"/>
            <w:tcBorders>
              <w:top w:val="nil"/>
              <w:left w:val="nil"/>
              <w:bottom w:val="nil"/>
              <w:right w:val="nil"/>
            </w:tcBorders>
            <w:vAlign w:val="bottom"/>
          </w:tcPr>
          <w:p w14:paraId="662A8642" w14:textId="2E52C018" w:rsidR="00DE60D4" w:rsidRPr="00AB32AE" w:rsidRDefault="00962DA3" w:rsidP="00FF031E">
            <w:pPr>
              <w:ind w:left="162"/>
              <w:jc w:val="right"/>
              <w:rPr>
                <w:rFonts w:ascii="Arial" w:hAnsi="Arial" w:cs="Arial"/>
                <w:b/>
                <w:bCs/>
                <w:sz w:val="20"/>
                <w:szCs w:val="20"/>
              </w:rPr>
            </w:pPr>
            <w:r>
              <w:rPr>
                <w:rFonts w:ascii="Arial" w:hAnsi="Arial" w:cs="Arial"/>
                <w:b/>
                <w:bCs/>
                <w:sz w:val="20"/>
                <w:szCs w:val="20"/>
              </w:rPr>
              <w:t>286</w:t>
            </w:r>
          </w:p>
        </w:tc>
        <w:tc>
          <w:tcPr>
            <w:tcW w:w="1702" w:type="dxa"/>
            <w:tcBorders>
              <w:top w:val="nil"/>
              <w:left w:val="nil"/>
              <w:bottom w:val="nil"/>
            </w:tcBorders>
            <w:vAlign w:val="bottom"/>
          </w:tcPr>
          <w:p w14:paraId="086D73B0" w14:textId="00448CBF" w:rsidR="00DE60D4" w:rsidRPr="00AB32AE" w:rsidRDefault="00962DA3" w:rsidP="00FF031E">
            <w:pPr>
              <w:jc w:val="right"/>
              <w:rPr>
                <w:rFonts w:ascii="Arial" w:hAnsi="Arial" w:cs="Arial"/>
                <w:sz w:val="20"/>
                <w:szCs w:val="20"/>
              </w:rPr>
            </w:pPr>
            <w:r>
              <w:rPr>
                <w:rFonts w:ascii="Arial" w:hAnsi="Arial" w:cs="Arial"/>
                <w:sz w:val="20"/>
                <w:szCs w:val="20"/>
              </w:rPr>
              <w:t>-</w:t>
            </w:r>
          </w:p>
        </w:tc>
      </w:tr>
      <w:tr w:rsidR="00962DA3" w:rsidRPr="00AD4033" w14:paraId="40B42A22" w14:textId="77777777" w:rsidTr="00FF031E">
        <w:trPr>
          <w:gridAfter w:val="1"/>
          <w:wAfter w:w="13" w:type="dxa"/>
        </w:trPr>
        <w:tc>
          <w:tcPr>
            <w:tcW w:w="6555" w:type="dxa"/>
            <w:tcBorders>
              <w:top w:val="nil"/>
              <w:bottom w:val="nil"/>
              <w:right w:val="nil"/>
            </w:tcBorders>
          </w:tcPr>
          <w:p w14:paraId="3BD4130F" w14:textId="34FA2918" w:rsidR="00962DA3" w:rsidRPr="00AB32AE" w:rsidRDefault="00962DA3" w:rsidP="00FF031E">
            <w:pPr>
              <w:rPr>
                <w:rFonts w:ascii="Arial" w:hAnsi="Arial" w:cs="Arial"/>
                <w:sz w:val="20"/>
                <w:szCs w:val="20"/>
              </w:rPr>
            </w:pPr>
            <w:r>
              <w:rPr>
                <w:rFonts w:ascii="Arial" w:hAnsi="Arial" w:cs="Arial"/>
                <w:sz w:val="20"/>
                <w:szCs w:val="20"/>
              </w:rPr>
              <w:t>Proceeds from exercise of warrants</w:t>
            </w:r>
          </w:p>
        </w:tc>
        <w:tc>
          <w:tcPr>
            <w:tcW w:w="1530" w:type="dxa"/>
            <w:tcBorders>
              <w:top w:val="nil"/>
              <w:left w:val="nil"/>
              <w:bottom w:val="nil"/>
              <w:right w:val="nil"/>
            </w:tcBorders>
            <w:vAlign w:val="bottom"/>
          </w:tcPr>
          <w:p w14:paraId="51EC023C" w14:textId="00D5F0B8" w:rsidR="00962DA3" w:rsidRDefault="00962DA3" w:rsidP="00FF031E">
            <w:pPr>
              <w:ind w:left="162"/>
              <w:jc w:val="right"/>
              <w:rPr>
                <w:rFonts w:ascii="Arial" w:hAnsi="Arial" w:cs="Arial"/>
                <w:b/>
                <w:bCs/>
                <w:sz w:val="20"/>
                <w:szCs w:val="20"/>
              </w:rPr>
            </w:pPr>
            <w:r>
              <w:rPr>
                <w:rFonts w:ascii="Arial" w:hAnsi="Arial" w:cs="Arial"/>
                <w:b/>
                <w:bCs/>
                <w:sz w:val="20"/>
                <w:szCs w:val="20"/>
              </w:rPr>
              <w:t>1,778</w:t>
            </w:r>
          </w:p>
        </w:tc>
        <w:tc>
          <w:tcPr>
            <w:tcW w:w="1702" w:type="dxa"/>
            <w:tcBorders>
              <w:top w:val="nil"/>
              <w:left w:val="nil"/>
              <w:bottom w:val="nil"/>
            </w:tcBorders>
            <w:vAlign w:val="bottom"/>
          </w:tcPr>
          <w:p w14:paraId="661EA531" w14:textId="1CDEB9B6" w:rsidR="00962DA3" w:rsidRPr="00AB32AE" w:rsidRDefault="00962DA3" w:rsidP="00FF031E">
            <w:pPr>
              <w:jc w:val="right"/>
              <w:rPr>
                <w:rFonts w:ascii="Arial" w:hAnsi="Arial" w:cs="Arial"/>
                <w:sz w:val="20"/>
                <w:szCs w:val="20"/>
              </w:rPr>
            </w:pPr>
            <w:r>
              <w:rPr>
                <w:rFonts w:ascii="Arial" w:hAnsi="Arial" w:cs="Arial"/>
                <w:sz w:val="20"/>
                <w:szCs w:val="20"/>
              </w:rPr>
              <w:t>-</w:t>
            </w:r>
          </w:p>
        </w:tc>
      </w:tr>
      <w:tr w:rsidR="00E53E22" w:rsidRPr="00AD4033" w14:paraId="6C2F4483" w14:textId="77777777" w:rsidTr="00DE60D4">
        <w:trPr>
          <w:gridAfter w:val="1"/>
          <w:wAfter w:w="13" w:type="dxa"/>
        </w:trPr>
        <w:tc>
          <w:tcPr>
            <w:tcW w:w="6555" w:type="dxa"/>
            <w:tcBorders>
              <w:top w:val="nil"/>
              <w:bottom w:val="single" w:sz="8" w:space="0" w:color="auto"/>
              <w:right w:val="nil"/>
            </w:tcBorders>
          </w:tcPr>
          <w:p w14:paraId="649C9B4D" w14:textId="44FF8778" w:rsidR="00E53E22" w:rsidRPr="00AB32AE" w:rsidRDefault="00962DA3" w:rsidP="00FF031E">
            <w:pPr>
              <w:rPr>
                <w:rFonts w:ascii="Arial" w:hAnsi="Arial" w:cs="Arial"/>
                <w:sz w:val="20"/>
                <w:szCs w:val="20"/>
              </w:rPr>
            </w:pPr>
            <w:r>
              <w:rPr>
                <w:rFonts w:ascii="Arial" w:hAnsi="Arial" w:cs="Arial"/>
                <w:sz w:val="20"/>
                <w:szCs w:val="20"/>
              </w:rPr>
              <w:t>Warrant liability exercised</w:t>
            </w:r>
          </w:p>
        </w:tc>
        <w:tc>
          <w:tcPr>
            <w:tcW w:w="1530" w:type="dxa"/>
            <w:tcBorders>
              <w:top w:val="nil"/>
              <w:left w:val="nil"/>
              <w:bottom w:val="single" w:sz="8" w:space="0" w:color="auto"/>
              <w:right w:val="nil"/>
            </w:tcBorders>
            <w:vAlign w:val="bottom"/>
          </w:tcPr>
          <w:p w14:paraId="66FEB296" w14:textId="24DD6543" w:rsidR="00E53E22" w:rsidRPr="00AB32AE" w:rsidRDefault="00962DA3" w:rsidP="00FF031E">
            <w:pPr>
              <w:ind w:left="162"/>
              <w:jc w:val="right"/>
              <w:rPr>
                <w:rFonts w:ascii="Arial" w:hAnsi="Arial" w:cs="Arial"/>
                <w:b/>
                <w:bCs/>
                <w:sz w:val="20"/>
                <w:szCs w:val="20"/>
              </w:rPr>
            </w:pPr>
            <w:r>
              <w:rPr>
                <w:rFonts w:ascii="Arial" w:hAnsi="Arial" w:cs="Arial"/>
                <w:b/>
                <w:bCs/>
                <w:sz w:val="20"/>
                <w:szCs w:val="20"/>
              </w:rPr>
              <w:t>(660)</w:t>
            </w:r>
          </w:p>
        </w:tc>
        <w:tc>
          <w:tcPr>
            <w:tcW w:w="1702" w:type="dxa"/>
            <w:tcBorders>
              <w:top w:val="nil"/>
              <w:left w:val="nil"/>
              <w:bottom w:val="single" w:sz="8" w:space="0" w:color="auto"/>
            </w:tcBorders>
            <w:vAlign w:val="bottom"/>
          </w:tcPr>
          <w:p w14:paraId="5416079F" w14:textId="77777777" w:rsidR="00E53E22" w:rsidRPr="00AB32AE" w:rsidRDefault="00E53E22" w:rsidP="00FF031E">
            <w:pPr>
              <w:jc w:val="right"/>
              <w:rPr>
                <w:rFonts w:ascii="Arial" w:hAnsi="Arial" w:cs="Arial"/>
                <w:sz w:val="20"/>
                <w:szCs w:val="20"/>
              </w:rPr>
            </w:pPr>
            <w:r w:rsidRPr="00AB32AE">
              <w:rPr>
                <w:rFonts w:ascii="Arial" w:hAnsi="Arial" w:cs="Arial"/>
                <w:sz w:val="20"/>
                <w:szCs w:val="20"/>
              </w:rPr>
              <w:t>-</w:t>
            </w:r>
          </w:p>
        </w:tc>
      </w:tr>
      <w:tr w:rsidR="00E53E22" w:rsidRPr="00AD4033" w14:paraId="4F1687DB" w14:textId="77777777" w:rsidTr="00FF031E">
        <w:trPr>
          <w:gridAfter w:val="1"/>
          <w:wAfter w:w="13" w:type="dxa"/>
        </w:trPr>
        <w:tc>
          <w:tcPr>
            <w:tcW w:w="6555" w:type="dxa"/>
            <w:tcBorders>
              <w:top w:val="single" w:sz="8" w:space="0" w:color="auto"/>
              <w:bottom w:val="nil"/>
              <w:right w:val="nil"/>
            </w:tcBorders>
            <w:vAlign w:val="bottom"/>
          </w:tcPr>
          <w:p w14:paraId="6C64490D" w14:textId="77777777" w:rsidR="00E53E22" w:rsidRPr="00AB32AE" w:rsidRDefault="00E53E22" w:rsidP="00FF031E">
            <w:pPr>
              <w:rPr>
                <w:rFonts w:ascii="Arial" w:hAnsi="Arial" w:cs="Arial"/>
                <w:sz w:val="20"/>
                <w:szCs w:val="20"/>
              </w:rPr>
            </w:pPr>
            <w:r w:rsidRPr="00AB32AE">
              <w:rPr>
                <w:rFonts w:ascii="Arial" w:hAnsi="Arial" w:cs="Arial"/>
                <w:b/>
                <w:sz w:val="20"/>
                <w:szCs w:val="20"/>
              </w:rPr>
              <w:t>Net cash provided by financing activities</w:t>
            </w:r>
          </w:p>
        </w:tc>
        <w:tc>
          <w:tcPr>
            <w:tcW w:w="1530" w:type="dxa"/>
            <w:tcBorders>
              <w:top w:val="single" w:sz="8" w:space="0" w:color="auto"/>
              <w:left w:val="nil"/>
              <w:bottom w:val="nil"/>
              <w:right w:val="nil"/>
            </w:tcBorders>
            <w:vAlign w:val="bottom"/>
          </w:tcPr>
          <w:p w14:paraId="5E53747A" w14:textId="6B2319A9" w:rsidR="00E53E22" w:rsidRPr="00AB32AE" w:rsidRDefault="00962DA3" w:rsidP="00FF031E">
            <w:pPr>
              <w:jc w:val="right"/>
              <w:rPr>
                <w:rFonts w:ascii="Arial" w:hAnsi="Arial" w:cs="Arial"/>
                <w:b/>
                <w:bCs/>
                <w:sz w:val="20"/>
                <w:szCs w:val="20"/>
              </w:rPr>
            </w:pPr>
            <w:r>
              <w:rPr>
                <w:rFonts w:ascii="Arial" w:hAnsi="Arial" w:cs="Arial"/>
                <w:b/>
                <w:bCs/>
                <w:sz w:val="20"/>
                <w:szCs w:val="20"/>
              </w:rPr>
              <w:t>14,541</w:t>
            </w:r>
          </w:p>
        </w:tc>
        <w:tc>
          <w:tcPr>
            <w:tcW w:w="1702" w:type="dxa"/>
            <w:tcBorders>
              <w:top w:val="single" w:sz="8" w:space="0" w:color="auto"/>
              <w:left w:val="nil"/>
              <w:bottom w:val="nil"/>
            </w:tcBorders>
            <w:vAlign w:val="bottom"/>
          </w:tcPr>
          <w:p w14:paraId="42A856CB" w14:textId="08BFE0F6" w:rsidR="00E53E22" w:rsidRPr="00AB32AE" w:rsidRDefault="00962DA3" w:rsidP="00FF031E">
            <w:pPr>
              <w:jc w:val="right"/>
              <w:rPr>
                <w:rFonts w:ascii="Arial" w:hAnsi="Arial" w:cs="Arial"/>
                <w:sz w:val="20"/>
                <w:szCs w:val="20"/>
              </w:rPr>
            </w:pPr>
            <w:r>
              <w:rPr>
                <w:rFonts w:ascii="Arial" w:hAnsi="Arial" w:cs="Arial"/>
                <w:sz w:val="20"/>
                <w:szCs w:val="20"/>
              </w:rPr>
              <w:t>952</w:t>
            </w:r>
          </w:p>
        </w:tc>
      </w:tr>
      <w:tr w:rsidR="00E53E22" w:rsidRPr="00AD4033" w14:paraId="08370A32" w14:textId="77777777" w:rsidTr="00FF031E">
        <w:trPr>
          <w:gridAfter w:val="1"/>
          <w:wAfter w:w="13" w:type="dxa"/>
        </w:trPr>
        <w:tc>
          <w:tcPr>
            <w:tcW w:w="6555" w:type="dxa"/>
            <w:tcBorders>
              <w:top w:val="nil"/>
              <w:bottom w:val="nil"/>
              <w:right w:val="nil"/>
            </w:tcBorders>
          </w:tcPr>
          <w:p w14:paraId="2E66BBCB" w14:textId="77777777" w:rsidR="00E53E22" w:rsidRPr="00AB32AE" w:rsidRDefault="00E53E22" w:rsidP="00FF031E">
            <w:pPr>
              <w:rPr>
                <w:rFonts w:ascii="Arial" w:hAnsi="Arial" w:cs="Arial"/>
                <w:b/>
                <w:sz w:val="20"/>
                <w:szCs w:val="20"/>
              </w:rPr>
            </w:pPr>
            <w:r w:rsidRPr="00AB32AE">
              <w:rPr>
                <w:rFonts w:ascii="Arial" w:hAnsi="Arial" w:cs="Arial"/>
                <w:b/>
                <w:sz w:val="20"/>
                <w:szCs w:val="20"/>
              </w:rPr>
              <w:t>Net change in cash</w:t>
            </w:r>
          </w:p>
        </w:tc>
        <w:tc>
          <w:tcPr>
            <w:tcW w:w="1530" w:type="dxa"/>
            <w:tcBorders>
              <w:top w:val="nil"/>
              <w:left w:val="nil"/>
              <w:bottom w:val="nil"/>
              <w:right w:val="nil"/>
            </w:tcBorders>
            <w:vAlign w:val="bottom"/>
          </w:tcPr>
          <w:p w14:paraId="363F2F6A" w14:textId="10D86346" w:rsidR="00E53E22" w:rsidRPr="00AB32AE" w:rsidRDefault="00962DA3" w:rsidP="00FF031E">
            <w:pPr>
              <w:jc w:val="right"/>
              <w:rPr>
                <w:rFonts w:ascii="Arial" w:hAnsi="Arial" w:cs="Arial"/>
                <w:b/>
                <w:bCs/>
                <w:sz w:val="20"/>
                <w:szCs w:val="20"/>
              </w:rPr>
            </w:pPr>
            <w:r>
              <w:rPr>
                <w:rFonts w:ascii="Arial" w:hAnsi="Arial" w:cs="Arial"/>
                <w:b/>
                <w:bCs/>
                <w:sz w:val="20"/>
                <w:szCs w:val="20"/>
              </w:rPr>
              <w:t>11,393</w:t>
            </w:r>
          </w:p>
        </w:tc>
        <w:tc>
          <w:tcPr>
            <w:tcW w:w="1702" w:type="dxa"/>
            <w:tcBorders>
              <w:top w:val="nil"/>
              <w:left w:val="nil"/>
              <w:bottom w:val="nil"/>
            </w:tcBorders>
            <w:vAlign w:val="bottom"/>
          </w:tcPr>
          <w:p w14:paraId="310AD917" w14:textId="4A3DA81C" w:rsidR="00E53E22" w:rsidRPr="00AB32AE" w:rsidRDefault="00E53E22" w:rsidP="00FF031E">
            <w:pPr>
              <w:jc w:val="right"/>
              <w:rPr>
                <w:rFonts w:ascii="Arial" w:hAnsi="Arial" w:cs="Arial"/>
                <w:sz w:val="20"/>
                <w:szCs w:val="20"/>
              </w:rPr>
            </w:pPr>
            <w:r w:rsidRPr="00AB32AE">
              <w:rPr>
                <w:rFonts w:ascii="Arial" w:hAnsi="Arial" w:cs="Arial"/>
                <w:sz w:val="20"/>
                <w:szCs w:val="20"/>
              </w:rPr>
              <w:t>(</w:t>
            </w:r>
            <w:r w:rsidR="00962DA3">
              <w:rPr>
                <w:rFonts w:ascii="Arial" w:hAnsi="Arial" w:cs="Arial"/>
                <w:sz w:val="20"/>
                <w:szCs w:val="20"/>
              </w:rPr>
              <w:t>413</w:t>
            </w:r>
            <w:r w:rsidRPr="00AB32AE">
              <w:rPr>
                <w:rFonts w:ascii="Arial" w:hAnsi="Arial" w:cs="Arial"/>
                <w:sz w:val="20"/>
                <w:szCs w:val="20"/>
              </w:rPr>
              <w:t>)</w:t>
            </w:r>
          </w:p>
        </w:tc>
      </w:tr>
      <w:tr w:rsidR="00E53E22" w:rsidRPr="00AD4033" w14:paraId="000F4051" w14:textId="77777777" w:rsidTr="00FF031E">
        <w:trPr>
          <w:gridAfter w:val="1"/>
          <w:wAfter w:w="13" w:type="dxa"/>
        </w:trPr>
        <w:tc>
          <w:tcPr>
            <w:tcW w:w="6555" w:type="dxa"/>
            <w:tcBorders>
              <w:top w:val="nil"/>
              <w:bottom w:val="nil"/>
              <w:right w:val="nil"/>
            </w:tcBorders>
          </w:tcPr>
          <w:p w14:paraId="428ED48A" w14:textId="77777777" w:rsidR="00E53E22" w:rsidRPr="00AB32AE" w:rsidRDefault="00E53E22" w:rsidP="00FF031E">
            <w:pPr>
              <w:rPr>
                <w:rFonts w:ascii="Arial" w:hAnsi="Arial" w:cs="Arial"/>
                <w:sz w:val="20"/>
                <w:szCs w:val="20"/>
              </w:rPr>
            </w:pPr>
            <w:r w:rsidRPr="00AB32AE">
              <w:rPr>
                <w:rFonts w:ascii="Arial" w:hAnsi="Arial" w:cs="Arial"/>
                <w:b/>
                <w:sz w:val="20"/>
                <w:szCs w:val="20"/>
              </w:rPr>
              <w:t>Net change in cash classified within assets held for sale</w:t>
            </w:r>
          </w:p>
        </w:tc>
        <w:tc>
          <w:tcPr>
            <w:tcW w:w="1530" w:type="dxa"/>
            <w:tcBorders>
              <w:top w:val="nil"/>
              <w:left w:val="nil"/>
              <w:bottom w:val="nil"/>
              <w:right w:val="nil"/>
            </w:tcBorders>
            <w:vAlign w:val="bottom"/>
          </w:tcPr>
          <w:p w14:paraId="7C7C8AB2" w14:textId="3E060671" w:rsidR="00E53E22" w:rsidRPr="00AB32AE" w:rsidRDefault="00DE60D4" w:rsidP="00FF031E">
            <w:pPr>
              <w:jc w:val="right"/>
              <w:rPr>
                <w:rFonts w:ascii="Arial" w:hAnsi="Arial" w:cs="Arial"/>
                <w:b/>
                <w:bCs/>
                <w:sz w:val="20"/>
                <w:szCs w:val="20"/>
              </w:rPr>
            </w:pPr>
            <w:r w:rsidRPr="00AB32AE">
              <w:rPr>
                <w:rFonts w:ascii="Arial" w:hAnsi="Arial" w:cs="Arial"/>
                <w:b/>
                <w:bCs/>
                <w:sz w:val="20"/>
                <w:szCs w:val="20"/>
              </w:rPr>
              <w:t>1</w:t>
            </w:r>
            <w:r w:rsidR="00962DA3">
              <w:rPr>
                <w:rFonts w:ascii="Arial" w:hAnsi="Arial" w:cs="Arial"/>
                <w:b/>
                <w:bCs/>
                <w:sz w:val="20"/>
                <w:szCs w:val="20"/>
              </w:rPr>
              <w:t>0</w:t>
            </w:r>
          </w:p>
        </w:tc>
        <w:tc>
          <w:tcPr>
            <w:tcW w:w="1702" w:type="dxa"/>
            <w:tcBorders>
              <w:top w:val="nil"/>
              <w:left w:val="nil"/>
              <w:bottom w:val="nil"/>
            </w:tcBorders>
            <w:vAlign w:val="bottom"/>
          </w:tcPr>
          <w:p w14:paraId="50E1C354" w14:textId="7DC4B1BF" w:rsidR="00E53E22" w:rsidRPr="00AB32AE" w:rsidRDefault="00962DA3" w:rsidP="00FF031E">
            <w:pPr>
              <w:jc w:val="right"/>
              <w:rPr>
                <w:rFonts w:ascii="Arial" w:hAnsi="Arial" w:cs="Arial"/>
                <w:sz w:val="20"/>
                <w:szCs w:val="20"/>
              </w:rPr>
            </w:pPr>
            <w:r>
              <w:rPr>
                <w:rFonts w:ascii="Arial" w:hAnsi="Arial" w:cs="Arial"/>
                <w:sz w:val="20"/>
                <w:szCs w:val="20"/>
              </w:rPr>
              <w:t>30</w:t>
            </w:r>
          </w:p>
        </w:tc>
      </w:tr>
      <w:tr w:rsidR="00E53E22" w:rsidRPr="00AD4033" w14:paraId="065F40C6" w14:textId="77777777" w:rsidTr="00FF031E">
        <w:trPr>
          <w:gridAfter w:val="1"/>
          <w:wAfter w:w="13" w:type="dxa"/>
        </w:trPr>
        <w:tc>
          <w:tcPr>
            <w:tcW w:w="6555" w:type="dxa"/>
            <w:tcBorders>
              <w:top w:val="nil"/>
              <w:bottom w:val="single" w:sz="8" w:space="0" w:color="auto"/>
              <w:right w:val="nil"/>
            </w:tcBorders>
          </w:tcPr>
          <w:p w14:paraId="64230BE3" w14:textId="77777777" w:rsidR="00E53E22" w:rsidRPr="00AB32AE" w:rsidRDefault="00E53E22" w:rsidP="00FF031E">
            <w:pPr>
              <w:rPr>
                <w:rFonts w:ascii="Arial" w:hAnsi="Arial" w:cs="Arial"/>
                <w:b/>
                <w:sz w:val="20"/>
                <w:szCs w:val="20"/>
              </w:rPr>
            </w:pPr>
            <w:r w:rsidRPr="00AB32AE">
              <w:rPr>
                <w:rFonts w:ascii="Arial" w:hAnsi="Arial" w:cs="Arial"/>
                <w:b/>
                <w:sz w:val="20"/>
                <w:szCs w:val="20"/>
              </w:rPr>
              <w:t>Cash, beginning of period</w:t>
            </w:r>
          </w:p>
        </w:tc>
        <w:tc>
          <w:tcPr>
            <w:tcW w:w="1530" w:type="dxa"/>
            <w:tcBorders>
              <w:top w:val="nil"/>
              <w:left w:val="nil"/>
              <w:bottom w:val="single" w:sz="8" w:space="0" w:color="auto"/>
              <w:right w:val="nil"/>
            </w:tcBorders>
            <w:vAlign w:val="bottom"/>
          </w:tcPr>
          <w:p w14:paraId="2F8BE09A" w14:textId="660AB7A2" w:rsidR="00E53E22" w:rsidRPr="00AB32AE" w:rsidRDefault="00962DA3" w:rsidP="00FF031E">
            <w:pPr>
              <w:jc w:val="right"/>
              <w:rPr>
                <w:rFonts w:ascii="Arial" w:hAnsi="Arial" w:cs="Arial"/>
                <w:b/>
                <w:bCs/>
                <w:sz w:val="20"/>
                <w:szCs w:val="20"/>
              </w:rPr>
            </w:pPr>
            <w:r>
              <w:rPr>
                <w:rFonts w:ascii="Arial" w:hAnsi="Arial" w:cs="Arial"/>
                <w:b/>
                <w:bCs/>
                <w:sz w:val="20"/>
                <w:szCs w:val="20"/>
              </w:rPr>
              <w:t>4,877</w:t>
            </w:r>
          </w:p>
        </w:tc>
        <w:tc>
          <w:tcPr>
            <w:tcW w:w="1702" w:type="dxa"/>
            <w:tcBorders>
              <w:top w:val="nil"/>
              <w:left w:val="nil"/>
              <w:bottom w:val="single" w:sz="8" w:space="0" w:color="auto"/>
            </w:tcBorders>
            <w:vAlign w:val="bottom"/>
          </w:tcPr>
          <w:p w14:paraId="243452F5" w14:textId="1ACD4ED4" w:rsidR="00E53E22" w:rsidRPr="00AB32AE" w:rsidRDefault="00962DA3" w:rsidP="00FF031E">
            <w:pPr>
              <w:jc w:val="right"/>
              <w:rPr>
                <w:rFonts w:ascii="Arial" w:hAnsi="Arial" w:cs="Arial"/>
                <w:sz w:val="20"/>
                <w:szCs w:val="20"/>
              </w:rPr>
            </w:pPr>
            <w:r>
              <w:rPr>
                <w:rFonts w:ascii="Arial" w:hAnsi="Arial" w:cs="Arial"/>
                <w:sz w:val="20"/>
                <w:szCs w:val="20"/>
              </w:rPr>
              <w:t>1,328</w:t>
            </w:r>
          </w:p>
        </w:tc>
      </w:tr>
      <w:tr w:rsidR="00E53E22" w:rsidRPr="00AD4033" w14:paraId="36159CA2" w14:textId="77777777" w:rsidTr="00FF031E">
        <w:trPr>
          <w:gridAfter w:val="1"/>
          <w:wAfter w:w="13" w:type="dxa"/>
        </w:trPr>
        <w:tc>
          <w:tcPr>
            <w:tcW w:w="6555" w:type="dxa"/>
            <w:tcBorders>
              <w:top w:val="single" w:sz="8" w:space="0" w:color="auto"/>
              <w:bottom w:val="single" w:sz="12" w:space="0" w:color="auto"/>
              <w:right w:val="nil"/>
            </w:tcBorders>
            <w:vAlign w:val="bottom"/>
          </w:tcPr>
          <w:p w14:paraId="0F448F26" w14:textId="77777777" w:rsidR="00E53E22" w:rsidRPr="00AB32AE" w:rsidRDefault="00E53E22" w:rsidP="00FF031E">
            <w:pPr>
              <w:rPr>
                <w:rFonts w:ascii="Arial" w:hAnsi="Arial" w:cs="Arial"/>
                <w:sz w:val="20"/>
                <w:szCs w:val="20"/>
              </w:rPr>
            </w:pPr>
            <w:r w:rsidRPr="00AB32AE">
              <w:rPr>
                <w:rFonts w:ascii="Arial" w:hAnsi="Arial" w:cs="Arial"/>
                <w:b/>
                <w:sz w:val="20"/>
              </w:rPr>
              <w:t>Cash end of period</w:t>
            </w:r>
          </w:p>
        </w:tc>
        <w:tc>
          <w:tcPr>
            <w:tcW w:w="1530" w:type="dxa"/>
            <w:tcBorders>
              <w:top w:val="single" w:sz="8" w:space="0" w:color="auto"/>
              <w:left w:val="nil"/>
              <w:bottom w:val="single" w:sz="12" w:space="0" w:color="auto"/>
              <w:right w:val="nil"/>
            </w:tcBorders>
            <w:vAlign w:val="center"/>
          </w:tcPr>
          <w:p w14:paraId="54346684" w14:textId="554A5F87" w:rsidR="00E53E22" w:rsidRPr="00AB32AE" w:rsidRDefault="00962DA3" w:rsidP="00FF031E">
            <w:pPr>
              <w:jc w:val="right"/>
              <w:rPr>
                <w:rFonts w:ascii="Arial" w:hAnsi="Arial" w:cs="Arial"/>
                <w:b/>
                <w:bCs/>
                <w:sz w:val="20"/>
                <w:szCs w:val="20"/>
              </w:rPr>
            </w:pPr>
            <w:r>
              <w:rPr>
                <w:rFonts w:ascii="Arial" w:hAnsi="Arial" w:cs="Arial"/>
                <w:b/>
                <w:bCs/>
                <w:sz w:val="20"/>
                <w:szCs w:val="20"/>
              </w:rPr>
              <w:t>16,280</w:t>
            </w:r>
          </w:p>
        </w:tc>
        <w:tc>
          <w:tcPr>
            <w:tcW w:w="1702" w:type="dxa"/>
            <w:tcBorders>
              <w:top w:val="single" w:sz="8" w:space="0" w:color="auto"/>
              <w:left w:val="nil"/>
              <w:bottom w:val="single" w:sz="12" w:space="0" w:color="auto"/>
            </w:tcBorders>
            <w:vAlign w:val="center"/>
          </w:tcPr>
          <w:p w14:paraId="794DBB41" w14:textId="7AFC6307" w:rsidR="00E53E22" w:rsidRPr="00AB32AE" w:rsidRDefault="00962DA3" w:rsidP="00FF031E">
            <w:pPr>
              <w:jc w:val="right"/>
              <w:rPr>
                <w:rFonts w:ascii="Arial" w:hAnsi="Arial" w:cs="Arial"/>
                <w:sz w:val="20"/>
                <w:szCs w:val="20"/>
              </w:rPr>
            </w:pPr>
            <w:r>
              <w:rPr>
                <w:rFonts w:ascii="Arial" w:hAnsi="Arial" w:cs="Arial"/>
                <w:sz w:val="20"/>
                <w:szCs w:val="20"/>
              </w:rPr>
              <w:t>945</w:t>
            </w:r>
          </w:p>
        </w:tc>
      </w:tr>
      <w:tr w:rsidR="00E53E22" w:rsidRPr="00AD4033" w14:paraId="06CAD492" w14:textId="77777777" w:rsidTr="00FF031E">
        <w:trPr>
          <w:gridAfter w:val="1"/>
          <w:wAfter w:w="13" w:type="dxa"/>
        </w:trPr>
        <w:tc>
          <w:tcPr>
            <w:tcW w:w="6555" w:type="dxa"/>
            <w:tcBorders>
              <w:top w:val="single" w:sz="12" w:space="0" w:color="auto"/>
              <w:bottom w:val="nil"/>
              <w:right w:val="nil"/>
            </w:tcBorders>
            <w:vAlign w:val="bottom"/>
          </w:tcPr>
          <w:p w14:paraId="7626BB9B" w14:textId="77777777" w:rsidR="00E53E22" w:rsidRPr="00AB32AE" w:rsidRDefault="00E53E22" w:rsidP="00FF031E">
            <w:pPr>
              <w:ind w:left="162"/>
              <w:rPr>
                <w:rFonts w:ascii="Arial" w:hAnsi="Arial" w:cs="Arial"/>
                <w:b/>
                <w:sz w:val="20"/>
                <w:szCs w:val="20"/>
              </w:rPr>
            </w:pPr>
          </w:p>
        </w:tc>
        <w:tc>
          <w:tcPr>
            <w:tcW w:w="1530" w:type="dxa"/>
            <w:tcBorders>
              <w:top w:val="single" w:sz="12" w:space="0" w:color="auto"/>
              <w:left w:val="nil"/>
              <w:bottom w:val="nil"/>
              <w:right w:val="nil"/>
            </w:tcBorders>
            <w:vAlign w:val="center"/>
          </w:tcPr>
          <w:p w14:paraId="46F81175" w14:textId="77777777" w:rsidR="00E53E22" w:rsidRPr="00AB32AE" w:rsidRDefault="00E53E22" w:rsidP="00FF031E">
            <w:pPr>
              <w:jc w:val="right"/>
              <w:rPr>
                <w:rFonts w:ascii="Arial" w:hAnsi="Arial" w:cs="Arial"/>
                <w:b/>
                <w:bCs/>
                <w:sz w:val="20"/>
                <w:szCs w:val="20"/>
              </w:rPr>
            </w:pPr>
          </w:p>
        </w:tc>
        <w:tc>
          <w:tcPr>
            <w:tcW w:w="1702" w:type="dxa"/>
            <w:tcBorders>
              <w:top w:val="single" w:sz="12" w:space="0" w:color="auto"/>
              <w:left w:val="nil"/>
              <w:bottom w:val="nil"/>
            </w:tcBorders>
            <w:vAlign w:val="center"/>
          </w:tcPr>
          <w:p w14:paraId="35C2A1ED" w14:textId="77777777" w:rsidR="00E53E22" w:rsidRPr="00AB32AE" w:rsidRDefault="00E53E22" w:rsidP="00FF031E">
            <w:pPr>
              <w:jc w:val="right"/>
              <w:rPr>
                <w:rFonts w:ascii="Arial" w:hAnsi="Arial" w:cs="Arial"/>
                <w:sz w:val="20"/>
                <w:szCs w:val="20"/>
              </w:rPr>
            </w:pPr>
          </w:p>
        </w:tc>
      </w:tr>
      <w:tr w:rsidR="00E53E22" w:rsidRPr="00AD4033" w14:paraId="6CA01A45" w14:textId="77777777" w:rsidTr="00FF031E">
        <w:trPr>
          <w:gridAfter w:val="1"/>
          <w:wAfter w:w="13" w:type="dxa"/>
        </w:trPr>
        <w:tc>
          <w:tcPr>
            <w:tcW w:w="6555" w:type="dxa"/>
            <w:tcBorders>
              <w:top w:val="nil"/>
              <w:bottom w:val="nil"/>
              <w:right w:val="nil"/>
            </w:tcBorders>
            <w:vAlign w:val="bottom"/>
          </w:tcPr>
          <w:p w14:paraId="2E49A5DA" w14:textId="77777777" w:rsidR="00E53E22" w:rsidRPr="00AB32AE" w:rsidRDefault="00E53E22" w:rsidP="00FF031E">
            <w:pPr>
              <w:rPr>
                <w:rFonts w:ascii="Arial" w:hAnsi="Arial" w:cs="Arial"/>
                <w:b/>
                <w:sz w:val="20"/>
                <w:szCs w:val="20"/>
              </w:rPr>
            </w:pPr>
            <w:r w:rsidRPr="00AB32AE">
              <w:rPr>
                <w:rFonts w:ascii="Arial" w:hAnsi="Arial" w:cs="Arial"/>
                <w:b/>
                <w:sz w:val="20"/>
              </w:rPr>
              <w:t>Operating activities</w:t>
            </w:r>
          </w:p>
        </w:tc>
        <w:tc>
          <w:tcPr>
            <w:tcW w:w="1530" w:type="dxa"/>
            <w:tcBorders>
              <w:top w:val="nil"/>
              <w:left w:val="nil"/>
              <w:bottom w:val="nil"/>
              <w:right w:val="nil"/>
            </w:tcBorders>
            <w:vAlign w:val="center"/>
          </w:tcPr>
          <w:p w14:paraId="5A6C7A9B"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center"/>
          </w:tcPr>
          <w:p w14:paraId="0EA8610E" w14:textId="77777777" w:rsidR="00E53E22" w:rsidRPr="00AB32AE" w:rsidRDefault="00E53E22" w:rsidP="00FF031E">
            <w:pPr>
              <w:jc w:val="right"/>
              <w:rPr>
                <w:rFonts w:ascii="Arial" w:hAnsi="Arial" w:cs="Arial"/>
                <w:sz w:val="20"/>
                <w:szCs w:val="20"/>
              </w:rPr>
            </w:pPr>
          </w:p>
        </w:tc>
      </w:tr>
      <w:tr w:rsidR="00E53E22" w:rsidRPr="00AD4033" w14:paraId="6137126F" w14:textId="77777777" w:rsidTr="00FF031E">
        <w:trPr>
          <w:gridAfter w:val="1"/>
          <w:wAfter w:w="13" w:type="dxa"/>
        </w:trPr>
        <w:tc>
          <w:tcPr>
            <w:tcW w:w="6555" w:type="dxa"/>
            <w:tcBorders>
              <w:top w:val="nil"/>
              <w:bottom w:val="nil"/>
              <w:right w:val="nil"/>
            </w:tcBorders>
            <w:vAlign w:val="bottom"/>
          </w:tcPr>
          <w:p w14:paraId="551CAE25" w14:textId="77777777" w:rsidR="00E53E22" w:rsidRPr="00AB32AE" w:rsidRDefault="00E53E22" w:rsidP="00FF031E">
            <w:pPr>
              <w:rPr>
                <w:rFonts w:ascii="Arial" w:hAnsi="Arial" w:cs="Arial"/>
                <w:b/>
                <w:sz w:val="20"/>
                <w:szCs w:val="20"/>
              </w:rPr>
            </w:pPr>
            <w:r w:rsidRPr="00AB32AE">
              <w:rPr>
                <w:rFonts w:ascii="Arial" w:hAnsi="Arial" w:cs="Arial"/>
                <w:sz w:val="20"/>
                <w:szCs w:val="20"/>
              </w:rPr>
              <w:t>- continuing operations</w:t>
            </w:r>
          </w:p>
        </w:tc>
        <w:tc>
          <w:tcPr>
            <w:tcW w:w="1530" w:type="dxa"/>
            <w:tcBorders>
              <w:top w:val="nil"/>
              <w:left w:val="nil"/>
              <w:bottom w:val="nil"/>
              <w:right w:val="nil"/>
            </w:tcBorders>
            <w:vAlign w:val="center"/>
          </w:tcPr>
          <w:p w14:paraId="48519CA1" w14:textId="05EF8A70" w:rsidR="00E53E22" w:rsidRPr="00AB32AE" w:rsidRDefault="000B2108" w:rsidP="00FF031E">
            <w:pPr>
              <w:jc w:val="right"/>
              <w:rPr>
                <w:rFonts w:ascii="Arial" w:hAnsi="Arial" w:cs="Arial"/>
                <w:b/>
                <w:bCs/>
                <w:sz w:val="20"/>
                <w:szCs w:val="20"/>
              </w:rPr>
            </w:pPr>
            <w:r>
              <w:rPr>
                <w:rFonts w:ascii="Arial" w:hAnsi="Arial" w:cs="Arial"/>
                <w:b/>
                <w:bCs/>
                <w:sz w:val="20"/>
                <w:szCs w:val="20"/>
              </w:rPr>
              <w:t>(1,304)</w:t>
            </w:r>
          </w:p>
        </w:tc>
        <w:tc>
          <w:tcPr>
            <w:tcW w:w="1702" w:type="dxa"/>
            <w:tcBorders>
              <w:top w:val="nil"/>
              <w:left w:val="nil"/>
              <w:bottom w:val="nil"/>
            </w:tcBorders>
            <w:vAlign w:val="center"/>
          </w:tcPr>
          <w:p w14:paraId="7DF2A87F" w14:textId="5ABB9803" w:rsidR="00E53E22" w:rsidRPr="00AB32AE" w:rsidRDefault="000B2108" w:rsidP="00FF031E">
            <w:pPr>
              <w:jc w:val="right"/>
              <w:rPr>
                <w:rFonts w:ascii="Arial" w:hAnsi="Arial" w:cs="Arial"/>
                <w:sz w:val="20"/>
                <w:szCs w:val="20"/>
              </w:rPr>
            </w:pPr>
            <w:r>
              <w:rPr>
                <w:rFonts w:ascii="Arial" w:hAnsi="Arial" w:cs="Arial"/>
                <w:sz w:val="20"/>
                <w:szCs w:val="20"/>
              </w:rPr>
              <w:t>1,309</w:t>
            </w:r>
          </w:p>
        </w:tc>
      </w:tr>
      <w:tr w:rsidR="00E53E22" w:rsidRPr="00AD4033" w14:paraId="411F8543" w14:textId="77777777" w:rsidTr="00FF031E">
        <w:trPr>
          <w:gridAfter w:val="1"/>
          <w:wAfter w:w="13" w:type="dxa"/>
        </w:trPr>
        <w:tc>
          <w:tcPr>
            <w:tcW w:w="6555" w:type="dxa"/>
            <w:tcBorders>
              <w:top w:val="nil"/>
              <w:bottom w:val="nil"/>
              <w:right w:val="nil"/>
            </w:tcBorders>
            <w:vAlign w:val="bottom"/>
          </w:tcPr>
          <w:p w14:paraId="18CB27BC" w14:textId="77777777" w:rsidR="00E53E22" w:rsidRPr="00AB32AE" w:rsidRDefault="00E53E22" w:rsidP="00FF031E">
            <w:pPr>
              <w:rPr>
                <w:rFonts w:ascii="Arial" w:hAnsi="Arial" w:cs="Arial"/>
                <w:b/>
                <w:sz w:val="20"/>
                <w:szCs w:val="20"/>
              </w:rPr>
            </w:pPr>
            <w:r w:rsidRPr="00AB32AE">
              <w:rPr>
                <w:rFonts w:ascii="Arial" w:hAnsi="Arial" w:cs="Arial"/>
                <w:sz w:val="20"/>
                <w:szCs w:val="20"/>
              </w:rPr>
              <w:t>- discontinued operations</w:t>
            </w:r>
          </w:p>
        </w:tc>
        <w:tc>
          <w:tcPr>
            <w:tcW w:w="1530" w:type="dxa"/>
            <w:tcBorders>
              <w:top w:val="nil"/>
              <w:left w:val="nil"/>
              <w:bottom w:val="nil"/>
              <w:right w:val="nil"/>
            </w:tcBorders>
            <w:vAlign w:val="center"/>
          </w:tcPr>
          <w:p w14:paraId="44C010FE" w14:textId="6A9582A1" w:rsidR="00E53E22" w:rsidRPr="00AB32AE" w:rsidRDefault="00E53E22" w:rsidP="00FF031E">
            <w:pPr>
              <w:jc w:val="right"/>
              <w:rPr>
                <w:rFonts w:ascii="Arial" w:hAnsi="Arial" w:cs="Arial"/>
                <w:b/>
                <w:bCs/>
                <w:sz w:val="20"/>
                <w:szCs w:val="20"/>
              </w:rPr>
            </w:pPr>
            <w:r w:rsidRPr="00AB32AE">
              <w:rPr>
                <w:rFonts w:ascii="Arial" w:hAnsi="Arial" w:cs="Arial"/>
                <w:b/>
                <w:bCs/>
                <w:sz w:val="20"/>
                <w:szCs w:val="20"/>
              </w:rPr>
              <w:t>(</w:t>
            </w:r>
            <w:r w:rsidR="000B2108">
              <w:rPr>
                <w:rFonts w:ascii="Arial" w:hAnsi="Arial" w:cs="Arial"/>
                <w:b/>
                <w:bCs/>
                <w:sz w:val="20"/>
                <w:szCs w:val="20"/>
              </w:rPr>
              <w:t>29</w:t>
            </w:r>
            <w:r w:rsidRPr="00AB32AE">
              <w:rPr>
                <w:rFonts w:ascii="Arial" w:hAnsi="Arial" w:cs="Arial"/>
                <w:b/>
                <w:bCs/>
                <w:sz w:val="20"/>
                <w:szCs w:val="20"/>
              </w:rPr>
              <w:t>)</w:t>
            </w:r>
          </w:p>
        </w:tc>
        <w:tc>
          <w:tcPr>
            <w:tcW w:w="1702" w:type="dxa"/>
            <w:tcBorders>
              <w:top w:val="nil"/>
              <w:left w:val="nil"/>
              <w:bottom w:val="nil"/>
            </w:tcBorders>
            <w:vAlign w:val="center"/>
          </w:tcPr>
          <w:p w14:paraId="1758B4DF" w14:textId="2DD6948E" w:rsidR="00E53E22" w:rsidRPr="00AB32AE" w:rsidRDefault="000B2108" w:rsidP="00FF031E">
            <w:pPr>
              <w:jc w:val="right"/>
              <w:rPr>
                <w:rFonts w:ascii="Arial" w:hAnsi="Arial" w:cs="Arial"/>
                <w:sz w:val="20"/>
                <w:szCs w:val="20"/>
              </w:rPr>
            </w:pPr>
            <w:r>
              <w:rPr>
                <w:rFonts w:ascii="Arial" w:hAnsi="Arial" w:cs="Arial"/>
                <w:sz w:val="20"/>
                <w:szCs w:val="20"/>
              </w:rPr>
              <w:t>(2,406)</w:t>
            </w:r>
          </w:p>
        </w:tc>
      </w:tr>
      <w:tr w:rsidR="00E53E22" w:rsidRPr="00AD4033" w14:paraId="33F30238" w14:textId="77777777" w:rsidTr="00FF031E">
        <w:trPr>
          <w:gridAfter w:val="1"/>
          <w:wAfter w:w="13" w:type="dxa"/>
        </w:trPr>
        <w:tc>
          <w:tcPr>
            <w:tcW w:w="6555" w:type="dxa"/>
            <w:tcBorders>
              <w:top w:val="nil"/>
              <w:bottom w:val="nil"/>
              <w:right w:val="nil"/>
            </w:tcBorders>
            <w:vAlign w:val="bottom"/>
          </w:tcPr>
          <w:p w14:paraId="7148224B" w14:textId="77777777" w:rsidR="00E53E22" w:rsidRPr="00AB32AE" w:rsidRDefault="00E53E22" w:rsidP="00FF031E">
            <w:pPr>
              <w:rPr>
                <w:rFonts w:ascii="Arial" w:hAnsi="Arial" w:cs="Arial"/>
                <w:b/>
                <w:sz w:val="20"/>
                <w:szCs w:val="20"/>
              </w:rPr>
            </w:pPr>
            <w:r w:rsidRPr="00AB32AE">
              <w:rPr>
                <w:rFonts w:ascii="Arial" w:hAnsi="Arial" w:cs="Arial"/>
                <w:b/>
                <w:sz w:val="20"/>
              </w:rPr>
              <w:t>Investing activities</w:t>
            </w:r>
          </w:p>
        </w:tc>
        <w:tc>
          <w:tcPr>
            <w:tcW w:w="1530" w:type="dxa"/>
            <w:tcBorders>
              <w:top w:val="nil"/>
              <w:left w:val="nil"/>
              <w:bottom w:val="nil"/>
              <w:right w:val="nil"/>
            </w:tcBorders>
            <w:vAlign w:val="center"/>
          </w:tcPr>
          <w:p w14:paraId="775897F8"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center"/>
          </w:tcPr>
          <w:p w14:paraId="1CCB07B2" w14:textId="77777777" w:rsidR="00E53E22" w:rsidRPr="00AB32AE" w:rsidRDefault="00E53E22" w:rsidP="00FF031E">
            <w:pPr>
              <w:jc w:val="right"/>
              <w:rPr>
                <w:rFonts w:ascii="Arial" w:hAnsi="Arial" w:cs="Arial"/>
                <w:sz w:val="20"/>
                <w:szCs w:val="20"/>
              </w:rPr>
            </w:pPr>
          </w:p>
        </w:tc>
      </w:tr>
      <w:tr w:rsidR="00E53E22" w:rsidRPr="00AD4033" w14:paraId="1644E0BE" w14:textId="77777777" w:rsidTr="00FF031E">
        <w:trPr>
          <w:gridAfter w:val="1"/>
          <w:wAfter w:w="13" w:type="dxa"/>
        </w:trPr>
        <w:tc>
          <w:tcPr>
            <w:tcW w:w="6555" w:type="dxa"/>
            <w:tcBorders>
              <w:top w:val="nil"/>
              <w:bottom w:val="nil"/>
              <w:right w:val="nil"/>
            </w:tcBorders>
            <w:vAlign w:val="bottom"/>
          </w:tcPr>
          <w:p w14:paraId="0CA8EDEC" w14:textId="77777777" w:rsidR="00E53E22" w:rsidRPr="00AB32AE" w:rsidRDefault="00E53E22" w:rsidP="00FF031E">
            <w:pPr>
              <w:rPr>
                <w:rFonts w:ascii="Arial" w:hAnsi="Arial" w:cs="Arial"/>
                <w:sz w:val="20"/>
                <w:szCs w:val="20"/>
              </w:rPr>
            </w:pPr>
            <w:r w:rsidRPr="00AB32AE">
              <w:rPr>
                <w:rFonts w:ascii="Arial" w:hAnsi="Arial" w:cs="Arial"/>
                <w:sz w:val="20"/>
                <w:szCs w:val="20"/>
              </w:rPr>
              <w:t>- continuing operations</w:t>
            </w:r>
          </w:p>
        </w:tc>
        <w:tc>
          <w:tcPr>
            <w:tcW w:w="1530" w:type="dxa"/>
            <w:tcBorders>
              <w:top w:val="nil"/>
              <w:left w:val="nil"/>
              <w:bottom w:val="nil"/>
              <w:right w:val="nil"/>
            </w:tcBorders>
            <w:vAlign w:val="center"/>
          </w:tcPr>
          <w:p w14:paraId="47BC2677" w14:textId="01EAB13B" w:rsidR="00E53E22" w:rsidRPr="00AB32AE" w:rsidRDefault="00E53E22" w:rsidP="00FF031E">
            <w:pPr>
              <w:jc w:val="right"/>
              <w:rPr>
                <w:rFonts w:ascii="Arial" w:hAnsi="Arial" w:cs="Arial"/>
                <w:b/>
                <w:bCs/>
                <w:sz w:val="20"/>
                <w:szCs w:val="20"/>
              </w:rPr>
            </w:pPr>
            <w:r w:rsidRPr="00AB32AE">
              <w:rPr>
                <w:rFonts w:ascii="Arial" w:hAnsi="Arial" w:cs="Arial"/>
                <w:b/>
                <w:bCs/>
                <w:sz w:val="20"/>
                <w:szCs w:val="20"/>
              </w:rPr>
              <w:t>(</w:t>
            </w:r>
            <w:r w:rsidR="000B2108">
              <w:rPr>
                <w:rFonts w:ascii="Arial" w:hAnsi="Arial" w:cs="Arial"/>
                <w:b/>
                <w:bCs/>
                <w:sz w:val="20"/>
                <w:szCs w:val="20"/>
              </w:rPr>
              <w:t>1,815</w:t>
            </w:r>
            <w:r w:rsidRPr="00AB32AE">
              <w:rPr>
                <w:rFonts w:ascii="Arial" w:hAnsi="Arial" w:cs="Arial"/>
                <w:b/>
                <w:bCs/>
                <w:sz w:val="20"/>
                <w:szCs w:val="20"/>
              </w:rPr>
              <w:t>)</w:t>
            </w:r>
          </w:p>
        </w:tc>
        <w:tc>
          <w:tcPr>
            <w:tcW w:w="1702" w:type="dxa"/>
            <w:tcBorders>
              <w:top w:val="nil"/>
              <w:left w:val="nil"/>
              <w:bottom w:val="nil"/>
            </w:tcBorders>
            <w:vAlign w:val="center"/>
          </w:tcPr>
          <w:p w14:paraId="181C71C2" w14:textId="73F28735" w:rsidR="00E53E22" w:rsidRPr="00AB32AE" w:rsidRDefault="00DE60D4" w:rsidP="00FF031E">
            <w:pPr>
              <w:jc w:val="right"/>
              <w:rPr>
                <w:rFonts w:ascii="Arial" w:hAnsi="Arial" w:cs="Arial"/>
                <w:sz w:val="20"/>
                <w:szCs w:val="20"/>
              </w:rPr>
            </w:pPr>
            <w:r w:rsidRPr="00AB32AE">
              <w:rPr>
                <w:rFonts w:ascii="Arial" w:hAnsi="Arial" w:cs="Arial"/>
                <w:sz w:val="20"/>
                <w:szCs w:val="20"/>
              </w:rPr>
              <w:t>(</w:t>
            </w:r>
            <w:r w:rsidR="000B2108">
              <w:rPr>
                <w:rFonts w:ascii="Arial" w:hAnsi="Arial" w:cs="Arial"/>
                <w:sz w:val="20"/>
                <w:szCs w:val="20"/>
              </w:rPr>
              <w:t>268</w:t>
            </w:r>
            <w:r w:rsidR="00E53E22" w:rsidRPr="00AB32AE">
              <w:rPr>
                <w:rFonts w:ascii="Arial" w:hAnsi="Arial" w:cs="Arial"/>
                <w:sz w:val="20"/>
                <w:szCs w:val="20"/>
              </w:rPr>
              <w:t>)</w:t>
            </w:r>
          </w:p>
        </w:tc>
      </w:tr>
      <w:tr w:rsidR="00E53E22" w:rsidRPr="00AD4033" w14:paraId="1D97277A" w14:textId="77777777" w:rsidTr="00FF031E">
        <w:trPr>
          <w:gridAfter w:val="1"/>
          <w:wAfter w:w="13" w:type="dxa"/>
        </w:trPr>
        <w:tc>
          <w:tcPr>
            <w:tcW w:w="6555" w:type="dxa"/>
            <w:tcBorders>
              <w:top w:val="nil"/>
              <w:bottom w:val="nil"/>
              <w:right w:val="nil"/>
            </w:tcBorders>
            <w:vAlign w:val="bottom"/>
          </w:tcPr>
          <w:p w14:paraId="539CF192" w14:textId="77777777" w:rsidR="00E53E22" w:rsidRPr="00AB32AE" w:rsidRDefault="00E53E22" w:rsidP="00FF031E">
            <w:pPr>
              <w:rPr>
                <w:rFonts w:ascii="Arial" w:hAnsi="Arial" w:cs="Arial"/>
                <w:sz w:val="20"/>
                <w:szCs w:val="20"/>
              </w:rPr>
            </w:pPr>
            <w:r w:rsidRPr="00AB32AE">
              <w:rPr>
                <w:rFonts w:ascii="Arial" w:hAnsi="Arial" w:cs="Arial"/>
                <w:b/>
                <w:sz w:val="20"/>
              </w:rPr>
              <w:t>Financing activities</w:t>
            </w:r>
          </w:p>
        </w:tc>
        <w:tc>
          <w:tcPr>
            <w:tcW w:w="1530" w:type="dxa"/>
            <w:tcBorders>
              <w:top w:val="nil"/>
              <w:left w:val="nil"/>
              <w:bottom w:val="nil"/>
              <w:right w:val="nil"/>
            </w:tcBorders>
            <w:vAlign w:val="center"/>
          </w:tcPr>
          <w:p w14:paraId="46EC4EC5" w14:textId="77777777" w:rsidR="00E53E22" w:rsidRPr="00AB32AE" w:rsidRDefault="00E53E22" w:rsidP="00FF031E">
            <w:pPr>
              <w:jc w:val="right"/>
              <w:rPr>
                <w:rFonts w:ascii="Arial" w:hAnsi="Arial" w:cs="Arial"/>
                <w:b/>
                <w:bCs/>
                <w:sz w:val="20"/>
                <w:szCs w:val="20"/>
              </w:rPr>
            </w:pPr>
          </w:p>
        </w:tc>
        <w:tc>
          <w:tcPr>
            <w:tcW w:w="1702" w:type="dxa"/>
            <w:tcBorders>
              <w:top w:val="nil"/>
              <w:left w:val="nil"/>
              <w:bottom w:val="nil"/>
            </w:tcBorders>
            <w:vAlign w:val="center"/>
          </w:tcPr>
          <w:p w14:paraId="7296C882" w14:textId="77777777" w:rsidR="00E53E22" w:rsidRPr="00AB32AE" w:rsidRDefault="00E53E22" w:rsidP="00FF031E">
            <w:pPr>
              <w:jc w:val="right"/>
              <w:rPr>
                <w:rFonts w:ascii="Arial" w:hAnsi="Arial" w:cs="Arial"/>
                <w:sz w:val="20"/>
                <w:szCs w:val="20"/>
              </w:rPr>
            </w:pPr>
          </w:p>
        </w:tc>
      </w:tr>
      <w:tr w:rsidR="000B2108" w:rsidRPr="00AD4033" w14:paraId="263D33A1" w14:textId="77777777" w:rsidTr="00FF031E">
        <w:trPr>
          <w:gridAfter w:val="1"/>
          <w:wAfter w:w="13" w:type="dxa"/>
        </w:trPr>
        <w:tc>
          <w:tcPr>
            <w:tcW w:w="6555" w:type="dxa"/>
            <w:tcBorders>
              <w:top w:val="nil"/>
              <w:bottom w:val="nil"/>
              <w:right w:val="nil"/>
            </w:tcBorders>
            <w:vAlign w:val="bottom"/>
          </w:tcPr>
          <w:p w14:paraId="078CB129" w14:textId="2DD667E3" w:rsidR="000B2108" w:rsidRPr="00AB32AE" w:rsidRDefault="000B2108" w:rsidP="000B2108">
            <w:pPr>
              <w:rPr>
                <w:rFonts w:ascii="Arial" w:hAnsi="Arial" w:cs="Arial"/>
                <w:b/>
                <w:sz w:val="20"/>
              </w:rPr>
            </w:pPr>
            <w:r w:rsidRPr="00AB32AE">
              <w:rPr>
                <w:rFonts w:ascii="Arial" w:hAnsi="Arial" w:cs="Arial"/>
                <w:sz w:val="20"/>
                <w:szCs w:val="20"/>
              </w:rPr>
              <w:t>- continuing operations</w:t>
            </w:r>
          </w:p>
        </w:tc>
        <w:tc>
          <w:tcPr>
            <w:tcW w:w="1530" w:type="dxa"/>
            <w:tcBorders>
              <w:top w:val="nil"/>
              <w:left w:val="nil"/>
              <w:bottom w:val="nil"/>
              <w:right w:val="nil"/>
            </w:tcBorders>
            <w:vAlign w:val="center"/>
          </w:tcPr>
          <w:p w14:paraId="3B7535B5" w14:textId="115BC18D" w:rsidR="000B2108" w:rsidRPr="00AB32AE" w:rsidRDefault="000B2108" w:rsidP="000B2108">
            <w:pPr>
              <w:jc w:val="right"/>
              <w:rPr>
                <w:rFonts w:ascii="Arial" w:hAnsi="Arial" w:cs="Arial"/>
                <w:b/>
                <w:bCs/>
                <w:sz w:val="20"/>
                <w:szCs w:val="20"/>
              </w:rPr>
            </w:pPr>
            <w:r>
              <w:rPr>
                <w:rFonts w:ascii="Arial" w:hAnsi="Arial" w:cs="Arial"/>
                <w:b/>
                <w:bCs/>
                <w:sz w:val="20"/>
                <w:szCs w:val="20"/>
              </w:rPr>
              <w:t>14,522</w:t>
            </w:r>
          </w:p>
        </w:tc>
        <w:tc>
          <w:tcPr>
            <w:tcW w:w="1702" w:type="dxa"/>
            <w:tcBorders>
              <w:top w:val="nil"/>
              <w:left w:val="nil"/>
              <w:bottom w:val="nil"/>
            </w:tcBorders>
            <w:vAlign w:val="center"/>
          </w:tcPr>
          <w:p w14:paraId="1A9A22FE" w14:textId="0E66034A" w:rsidR="000B2108" w:rsidRPr="00AB32AE" w:rsidRDefault="000B2108" w:rsidP="000B2108">
            <w:pPr>
              <w:jc w:val="right"/>
              <w:rPr>
                <w:rFonts w:ascii="Arial" w:hAnsi="Arial" w:cs="Arial"/>
                <w:sz w:val="20"/>
                <w:szCs w:val="20"/>
              </w:rPr>
            </w:pPr>
            <w:r>
              <w:rPr>
                <w:rFonts w:ascii="Arial" w:hAnsi="Arial" w:cs="Arial"/>
                <w:sz w:val="20"/>
                <w:szCs w:val="20"/>
              </w:rPr>
              <w:t>952</w:t>
            </w:r>
          </w:p>
        </w:tc>
      </w:tr>
      <w:tr w:rsidR="000B2108" w:rsidRPr="00B3469C" w14:paraId="75F33BB4" w14:textId="77777777" w:rsidTr="00FF031E">
        <w:trPr>
          <w:gridAfter w:val="1"/>
          <w:wAfter w:w="13" w:type="dxa"/>
        </w:trPr>
        <w:tc>
          <w:tcPr>
            <w:tcW w:w="6555" w:type="dxa"/>
            <w:tcBorders>
              <w:top w:val="nil"/>
              <w:bottom w:val="single" w:sz="12" w:space="0" w:color="auto"/>
              <w:right w:val="nil"/>
            </w:tcBorders>
            <w:vAlign w:val="bottom"/>
          </w:tcPr>
          <w:p w14:paraId="4AD23DB9" w14:textId="3F7BF825" w:rsidR="000B2108" w:rsidRPr="00AB32AE" w:rsidRDefault="000B2108" w:rsidP="000B2108">
            <w:pPr>
              <w:rPr>
                <w:rFonts w:ascii="Arial" w:hAnsi="Arial" w:cs="Arial"/>
                <w:sz w:val="20"/>
                <w:szCs w:val="20"/>
              </w:rPr>
            </w:pPr>
            <w:r w:rsidRPr="00AB32AE">
              <w:rPr>
                <w:rFonts w:ascii="Arial" w:hAnsi="Arial" w:cs="Arial"/>
                <w:sz w:val="20"/>
                <w:szCs w:val="20"/>
              </w:rPr>
              <w:t>- discontinued operations</w:t>
            </w:r>
          </w:p>
        </w:tc>
        <w:tc>
          <w:tcPr>
            <w:tcW w:w="1530" w:type="dxa"/>
            <w:tcBorders>
              <w:top w:val="nil"/>
              <w:left w:val="nil"/>
              <w:bottom w:val="single" w:sz="12" w:space="0" w:color="auto"/>
              <w:right w:val="nil"/>
            </w:tcBorders>
            <w:vAlign w:val="center"/>
          </w:tcPr>
          <w:p w14:paraId="7E96CA34" w14:textId="36B70BF6" w:rsidR="000B2108" w:rsidRPr="00AB32AE" w:rsidRDefault="000B2108" w:rsidP="000B2108">
            <w:pPr>
              <w:jc w:val="right"/>
              <w:rPr>
                <w:rFonts w:ascii="Arial" w:hAnsi="Arial" w:cs="Arial"/>
                <w:b/>
                <w:bCs/>
                <w:sz w:val="20"/>
                <w:szCs w:val="20"/>
              </w:rPr>
            </w:pPr>
            <w:r>
              <w:rPr>
                <w:rFonts w:ascii="Arial" w:hAnsi="Arial" w:cs="Arial"/>
                <w:b/>
                <w:bCs/>
                <w:sz w:val="20"/>
                <w:szCs w:val="20"/>
              </w:rPr>
              <w:t>19</w:t>
            </w:r>
          </w:p>
        </w:tc>
        <w:tc>
          <w:tcPr>
            <w:tcW w:w="1702" w:type="dxa"/>
            <w:tcBorders>
              <w:top w:val="nil"/>
              <w:left w:val="nil"/>
              <w:bottom w:val="single" w:sz="12" w:space="0" w:color="auto"/>
            </w:tcBorders>
            <w:vAlign w:val="center"/>
          </w:tcPr>
          <w:p w14:paraId="79D83196" w14:textId="548EE92A" w:rsidR="000B2108" w:rsidRPr="00AB32AE" w:rsidRDefault="000B2108" w:rsidP="000B2108">
            <w:pPr>
              <w:jc w:val="right"/>
              <w:rPr>
                <w:rFonts w:ascii="Arial" w:hAnsi="Arial" w:cs="Arial"/>
                <w:sz w:val="20"/>
                <w:szCs w:val="20"/>
              </w:rPr>
            </w:pPr>
            <w:r>
              <w:rPr>
                <w:rFonts w:ascii="Arial" w:hAnsi="Arial" w:cs="Arial"/>
                <w:sz w:val="20"/>
                <w:szCs w:val="20"/>
              </w:rPr>
              <w:t>-</w:t>
            </w:r>
          </w:p>
        </w:tc>
      </w:tr>
    </w:tbl>
    <w:p w14:paraId="6AC85F10" w14:textId="77777777" w:rsidR="000A53D5" w:rsidRDefault="000A53D5" w:rsidP="00195617">
      <w:pPr>
        <w:spacing w:after="160" w:line="259" w:lineRule="auto"/>
        <w:jc w:val="both"/>
        <w:rPr>
          <w:rFonts w:ascii="Arial" w:hAnsi="Arial" w:cs="Arial"/>
          <w:sz w:val="20"/>
          <w:szCs w:val="20"/>
          <w:lang w:val="en-US"/>
        </w:rPr>
      </w:pPr>
    </w:p>
    <w:p w14:paraId="369EB7BE" w14:textId="77777777" w:rsidR="00E53E22" w:rsidRPr="00AA3884" w:rsidRDefault="00E53E22" w:rsidP="00E53E22">
      <w:pPr>
        <w:suppressAutoHyphens/>
        <w:jc w:val="both"/>
        <w:rPr>
          <w:rFonts w:ascii="Arial" w:eastAsia="SimSun" w:hAnsi="Arial" w:cs="Arial"/>
          <w:sz w:val="20"/>
          <w:szCs w:val="20"/>
          <w:lang w:eastAsia="ar-SA"/>
        </w:rPr>
      </w:pPr>
    </w:p>
    <w:p w14:paraId="01FBBEE2" w14:textId="77777777" w:rsidR="00E53E22" w:rsidRPr="00AA3884" w:rsidRDefault="00E53E22" w:rsidP="00E53E22">
      <w:pPr>
        <w:suppressAutoHyphens/>
        <w:jc w:val="both"/>
        <w:rPr>
          <w:rFonts w:ascii="Arial" w:eastAsia="SimSun" w:hAnsi="Arial" w:cs="Arial"/>
          <w:sz w:val="20"/>
          <w:szCs w:val="20"/>
          <w:lang w:eastAsia="ar-SA"/>
        </w:rPr>
      </w:pPr>
    </w:p>
    <w:p w14:paraId="31D682D3" w14:textId="77777777" w:rsidR="00E53E22" w:rsidRDefault="00E53E22" w:rsidP="00E53E22">
      <w:pPr>
        <w:rPr>
          <w:rFonts w:ascii="Arial" w:eastAsia="Times New Roman" w:hAnsi="Arial" w:cs="Arial"/>
          <w:color w:val="000000"/>
          <w:sz w:val="20"/>
          <w:szCs w:val="20"/>
          <w:lang w:eastAsia="es-UY"/>
        </w:rPr>
      </w:pPr>
      <w:r>
        <w:rPr>
          <w:rFonts w:ascii="Arial" w:eastAsia="Times New Roman" w:hAnsi="Arial" w:cs="Arial"/>
          <w:color w:val="000000"/>
          <w:sz w:val="20"/>
          <w:szCs w:val="20"/>
          <w:lang w:eastAsia="es-UY"/>
        </w:rPr>
        <w:br w:type="page"/>
      </w:r>
    </w:p>
    <w:p w14:paraId="736214F5" w14:textId="77777777" w:rsidR="00B3799A" w:rsidRPr="00B3799A" w:rsidRDefault="00B3799A" w:rsidP="00B3799A">
      <w:pPr>
        <w:autoSpaceDE w:val="0"/>
        <w:autoSpaceDN w:val="0"/>
        <w:adjustRightInd w:val="0"/>
        <w:jc w:val="both"/>
        <w:rPr>
          <w:rFonts w:ascii="Arial" w:eastAsia="Times New Roman" w:hAnsi="Arial" w:cs="Arial"/>
          <w:b/>
          <w:bCs/>
          <w:color w:val="000000"/>
          <w:sz w:val="20"/>
          <w:szCs w:val="20"/>
        </w:rPr>
      </w:pPr>
      <w:bookmarkStart w:id="5" w:name="_Hlk23838229"/>
      <w:r w:rsidRPr="00B3799A">
        <w:rPr>
          <w:rFonts w:ascii="Arial" w:eastAsia="Times New Roman" w:hAnsi="Arial" w:cs="Arial"/>
          <w:b/>
          <w:bCs/>
          <w:color w:val="000000"/>
          <w:sz w:val="20"/>
          <w:szCs w:val="20"/>
        </w:rPr>
        <w:t xml:space="preserve">For further information, visit </w:t>
      </w:r>
      <w:hyperlink r:id="rId13" w:history="1">
        <w:r w:rsidRPr="00B3799A">
          <w:rPr>
            <w:rFonts w:ascii="Arial" w:eastAsia="Times New Roman" w:hAnsi="Arial" w:cs="Arial"/>
            <w:b/>
            <w:bCs/>
            <w:color w:val="0563C1" w:themeColor="hyperlink"/>
            <w:sz w:val="20"/>
            <w:szCs w:val="20"/>
            <w:u w:val="single"/>
          </w:rPr>
          <w:t>www.orosur.ca</w:t>
        </w:r>
      </w:hyperlink>
      <w:r w:rsidRPr="00B3799A">
        <w:rPr>
          <w:rFonts w:ascii="Arial" w:eastAsia="Times New Roman" w:hAnsi="Arial" w:cs="Arial"/>
          <w:b/>
          <w:bCs/>
          <w:color w:val="000000"/>
          <w:sz w:val="20"/>
          <w:szCs w:val="20"/>
        </w:rPr>
        <w:t>, follow on X @orosurm or please contact:</w:t>
      </w:r>
    </w:p>
    <w:p w14:paraId="14CAE0FC" w14:textId="77777777" w:rsidR="00B3799A" w:rsidRPr="00B3799A" w:rsidRDefault="00B3799A" w:rsidP="00B3799A">
      <w:pPr>
        <w:autoSpaceDE w:val="0"/>
        <w:autoSpaceDN w:val="0"/>
        <w:adjustRightInd w:val="0"/>
        <w:jc w:val="both"/>
        <w:rPr>
          <w:rFonts w:ascii="Arial" w:eastAsia="Times New Roman" w:hAnsi="Arial" w:cs="Arial"/>
          <w:b/>
          <w:bCs/>
          <w:color w:val="000000"/>
          <w:sz w:val="20"/>
          <w:szCs w:val="20"/>
          <w:lang w:eastAsia="es-UY"/>
        </w:rPr>
      </w:pPr>
    </w:p>
    <w:p w14:paraId="4625DF44" w14:textId="77777777" w:rsidR="00B3799A" w:rsidRPr="00B3799A" w:rsidRDefault="00B3799A" w:rsidP="00B3799A">
      <w:pPr>
        <w:autoSpaceDE w:val="0"/>
        <w:autoSpaceDN w:val="0"/>
        <w:adjustRightInd w:val="0"/>
        <w:contextualSpacing/>
        <w:jc w:val="both"/>
        <w:rPr>
          <w:rFonts w:ascii="Arial" w:eastAsia="Times New Roman" w:hAnsi="Arial" w:cs="Arial"/>
          <w:b/>
          <w:bCs/>
          <w:color w:val="000000"/>
          <w:sz w:val="20"/>
          <w:szCs w:val="20"/>
          <w:lang w:eastAsia="es-UY"/>
        </w:rPr>
      </w:pPr>
      <w:r w:rsidRPr="00B3799A">
        <w:rPr>
          <w:rFonts w:ascii="Arial" w:eastAsia="Times New Roman" w:hAnsi="Arial" w:cs="Arial"/>
          <w:b/>
          <w:bCs/>
          <w:color w:val="000000"/>
          <w:sz w:val="20"/>
          <w:szCs w:val="20"/>
          <w:lang w:eastAsia="es-UY"/>
        </w:rPr>
        <w:t>Orosur Mining Inc</w:t>
      </w:r>
    </w:p>
    <w:p w14:paraId="35F304A0" w14:textId="77777777" w:rsidR="00B3799A" w:rsidRPr="00B3799A" w:rsidRDefault="00B3799A" w:rsidP="00B3799A">
      <w:pPr>
        <w:autoSpaceDE w:val="0"/>
        <w:autoSpaceDN w:val="0"/>
        <w:adjustRightInd w:val="0"/>
        <w:contextualSpacing/>
        <w:jc w:val="both"/>
        <w:rPr>
          <w:rFonts w:ascii="Arial" w:eastAsia="Times New Roman" w:hAnsi="Arial" w:cs="Arial"/>
          <w:color w:val="000000"/>
          <w:sz w:val="20"/>
          <w:szCs w:val="20"/>
          <w:lang w:eastAsia="es-UY"/>
        </w:rPr>
      </w:pPr>
      <w:r w:rsidRPr="00B3799A">
        <w:rPr>
          <w:rFonts w:ascii="Arial" w:eastAsia="Times New Roman" w:hAnsi="Arial" w:cs="Arial"/>
          <w:color w:val="000000"/>
          <w:sz w:val="20"/>
          <w:szCs w:val="20"/>
          <w:lang w:eastAsia="es-UY"/>
        </w:rPr>
        <w:t xml:space="preserve">Louis Castro, Chairman, </w:t>
      </w:r>
    </w:p>
    <w:p w14:paraId="47054E8F" w14:textId="77777777" w:rsidR="00B3799A" w:rsidRPr="00B3799A" w:rsidRDefault="00B3799A" w:rsidP="00B3799A">
      <w:pPr>
        <w:autoSpaceDE w:val="0"/>
        <w:autoSpaceDN w:val="0"/>
        <w:adjustRightInd w:val="0"/>
        <w:contextualSpacing/>
        <w:jc w:val="both"/>
        <w:rPr>
          <w:rFonts w:ascii="Arial" w:eastAsia="Times New Roman" w:hAnsi="Arial" w:cs="Arial"/>
          <w:color w:val="000000"/>
          <w:sz w:val="20"/>
          <w:szCs w:val="20"/>
          <w:lang w:eastAsia="es-UY"/>
        </w:rPr>
      </w:pPr>
      <w:r w:rsidRPr="00B3799A">
        <w:rPr>
          <w:rFonts w:ascii="Arial" w:eastAsia="Times New Roman" w:hAnsi="Arial" w:cs="Arial"/>
          <w:color w:val="000000"/>
          <w:sz w:val="20"/>
          <w:szCs w:val="20"/>
          <w:lang w:eastAsia="es-UY"/>
        </w:rPr>
        <w:t xml:space="preserve">Brad George, CEO </w:t>
      </w:r>
    </w:p>
    <w:p w14:paraId="31A39506" w14:textId="77777777" w:rsidR="00B3799A" w:rsidRPr="00B3799A" w:rsidRDefault="00B3799A" w:rsidP="00B3799A">
      <w:pPr>
        <w:autoSpaceDE w:val="0"/>
        <w:autoSpaceDN w:val="0"/>
        <w:adjustRightInd w:val="0"/>
        <w:contextualSpacing/>
        <w:jc w:val="both"/>
        <w:rPr>
          <w:rFonts w:ascii="Arial" w:eastAsia="Times New Roman" w:hAnsi="Arial" w:cs="Arial"/>
          <w:color w:val="000000"/>
          <w:sz w:val="20"/>
          <w:szCs w:val="20"/>
          <w:lang w:eastAsia="es-UY"/>
        </w:rPr>
      </w:pPr>
      <w:r w:rsidRPr="00B3799A">
        <w:rPr>
          <w:rFonts w:ascii="Arial" w:eastAsia="Times New Roman" w:hAnsi="Arial" w:cs="Arial"/>
          <w:color w:val="000000"/>
          <w:sz w:val="20"/>
          <w:szCs w:val="20"/>
          <w:lang w:eastAsia="es-UY"/>
        </w:rPr>
        <w:t>info@orosur.ca</w:t>
      </w:r>
    </w:p>
    <w:p w14:paraId="6B98CF2F" w14:textId="77777777" w:rsidR="00B3799A" w:rsidRPr="00B3799A" w:rsidRDefault="00B3799A" w:rsidP="00B3799A">
      <w:pPr>
        <w:autoSpaceDE w:val="0"/>
        <w:autoSpaceDN w:val="0"/>
        <w:adjustRightInd w:val="0"/>
        <w:contextualSpacing/>
        <w:jc w:val="both"/>
        <w:rPr>
          <w:rFonts w:ascii="Arial" w:eastAsia="Times New Roman" w:hAnsi="Arial" w:cs="Arial"/>
          <w:sz w:val="20"/>
          <w:szCs w:val="20"/>
        </w:rPr>
      </w:pPr>
      <w:r w:rsidRPr="00B3799A">
        <w:rPr>
          <w:rFonts w:ascii="Arial" w:eastAsia="Times New Roman" w:hAnsi="Arial" w:cs="Arial"/>
          <w:color w:val="000000"/>
          <w:sz w:val="20"/>
          <w:szCs w:val="20"/>
          <w:lang w:eastAsia="es-UY"/>
        </w:rPr>
        <w:t xml:space="preserve">Tel: </w:t>
      </w:r>
      <w:r w:rsidRPr="00B3799A">
        <w:rPr>
          <w:rFonts w:ascii="Arial" w:eastAsia="Times New Roman" w:hAnsi="Arial" w:cs="Arial"/>
          <w:sz w:val="20"/>
          <w:szCs w:val="20"/>
        </w:rPr>
        <w:t>+1 (778) 373-0100</w:t>
      </w:r>
    </w:p>
    <w:p w14:paraId="60512D44" w14:textId="77777777" w:rsidR="00B3799A" w:rsidRPr="00B3799A" w:rsidRDefault="00B3799A" w:rsidP="00B3799A">
      <w:pPr>
        <w:autoSpaceDE w:val="0"/>
        <w:autoSpaceDN w:val="0"/>
        <w:adjustRightInd w:val="0"/>
        <w:contextualSpacing/>
        <w:jc w:val="both"/>
        <w:rPr>
          <w:rFonts w:ascii="Arial" w:eastAsia="Times New Roman" w:hAnsi="Arial" w:cs="Arial"/>
          <w:color w:val="000000"/>
          <w:sz w:val="20"/>
          <w:szCs w:val="20"/>
          <w:lang w:eastAsia="es-UY"/>
        </w:rPr>
      </w:pPr>
    </w:p>
    <w:p w14:paraId="254278D3" w14:textId="77777777" w:rsidR="00B3799A" w:rsidRPr="00B3799A" w:rsidRDefault="00B3799A" w:rsidP="00B3799A">
      <w:pPr>
        <w:autoSpaceDE w:val="0"/>
        <w:autoSpaceDN w:val="0"/>
        <w:adjustRightInd w:val="0"/>
        <w:contextualSpacing/>
        <w:jc w:val="both"/>
        <w:rPr>
          <w:rFonts w:ascii="Arial" w:eastAsia="Times New Roman" w:hAnsi="Arial" w:cs="Arial"/>
          <w:b/>
          <w:sz w:val="20"/>
          <w:szCs w:val="20"/>
        </w:rPr>
      </w:pPr>
      <w:r w:rsidRPr="00B3799A">
        <w:rPr>
          <w:rFonts w:ascii="Arial" w:eastAsia="Times New Roman" w:hAnsi="Arial" w:cs="Arial"/>
          <w:b/>
          <w:sz w:val="20"/>
          <w:szCs w:val="20"/>
        </w:rPr>
        <w:t>SP Angel Corporate Finance LLP – Nomad &amp; Joint Broker</w:t>
      </w:r>
    </w:p>
    <w:p w14:paraId="0221F872" w14:textId="77777777" w:rsidR="00B3799A" w:rsidRPr="00B3799A" w:rsidRDefault="00B3799A" w:rsidP="00B3799A">
      <w:pPr>
        <w:autoSpaceDE w:val="0"/>
        <w:autoSpaceDN w:val="0"/>
        <w:adjustRightInd w:val="0"/>
        <w:contextualSpacing/>
        <w:jc w:val="both"/>
        <w:rPr>
          <w:rFonts w:ascii="Arial" w:eastAsia="Times New Roman" w:hAnsi="Arial" w:cs="Arial"/>
          <w:sz w:val="20"/>
          <w:szCs w:val="20"/>
          <w:lang w:val="nl-NL"/>
        </w:rPr>
      </w:pPr>
      <w:r w:rsidRPr="00B3799A">
        <w:rPr>
          <w:rFonts w:ascii="Arial" w:eastAsia="Times New Roman" w:hAnsi="Arial" w:cs="Arial"/>
          <w:sz w:val="20"/>
          <w:szCs w:val="20"/>
          <w:lang w:val="nl-NL"/>
        </w:rPr>
        <w:t>Jeff Keating / Jen Clarke / Devik Mehta</w:t>
      </w:r>
    </w:p>
    <w:p w14:paraId="6C44CCF5" w14:textId="77777777" w:rsidR="00B3799A" w:rsidRPr="00B3799A" w:rsidRDefault="00B3799A" w:rsidP="00B3799A">
      <w:pPr>
        <w:autoSpaceDE w:val="0"/>
        <w:autoSpaceDN w:val="0"/>
        <w:adjustRightInd w:val="0"/>
        <w:contextualSpacing/>
        <w:jc w:val="both"/>
        <w:rPr>
          <w:rFonts w:ascii="Arial" w:eastAsia="Times New Roman" w:hAnsi="Arial" w:cs="Arial"/>
          <w:sz w:val="20"/>
          <w:szCs w:val="20"/>
        </w:rPr>
      </w:pPr>
      <w:r w:rsidRPr="00B3799A">
        <w:rPr>
          <w:rFonts w:ascii="Arial" w:eastAsia="Times New Roman" w:hAnsi="Arial" w:cs="Arial"/>
          <w:sz w:val="20"/>
          <w:szCs w:val="20"/>
        </w:rPr>
        <w:t>Tel: +44 (0) 20 3470 0470</w:t>
      </w:r>
    </w:p>
    <w:p w14:paraId="2677BEE8" w14:textId="77777777" w:rsidR="00B3799A" w:rsidRPr="00B3799A" w:rsidRDefault="00B3799A" w:rsidP="00B3799A">
      <w:pPr>
        <w:autoSpaceDE w:val="0"/>
        <w:autoSpaceDN w:val="0"/>
        <w:adjustRightInd w:val="0"/>
        <w:contextualSpacing/>
        <w:jc w:val="both"/>
        <w:rPr>
          <w:rFonts w:ascii="Arial" w:eastAsia="Times New Roman" w:hAnsi="Arial" w:cs="Arial"/>
          <w:sz w:val="20"/>
          <w:szCs w:val="20"/>
        </w:rPr>
      </w:pPr>
    </w:p>
    <w:p w14:paraId="5AE3840D" w14:textId="77777777" w:rsidR="00B3799A" w:rsidRPr="00B3799A" w:rsidRDefault="00B3799A" w:rsidP="00B3799A">
      <w:pPr>
        <w:spacing w:before="100" w:beforeAutospacing="1" w:after="100" w:afterAutospacing="1"/>
        <w:contextualSpacing/>
        <w:rPr>
          <w:rFonts w:ascii="Arial" w:eastAsia="Times New Roman" w:hAnsi="Arial" w:cs="Arial"/>
          <w:b/>
          <w:bCs/>
          <w:sz w:val="20"/>
          <w:szCs w:val="20"/>
          <w:lang w:eastAsia="en-GB"/>
        </w:rPr>
      </w:pPr>
      <w:r w:rsidRPr="00B3799A">
        <w:rPr>
          <w:rFonts w:ascii="Arial" w:eastAsia="Times New Roman" w:hAnsi="Arial" w:cs="Arial"/>
          <w:b/>
          <w:bCs/>
          <w:sz w:val="20"/>
          <w:szCs w:val="20"/>
          <w:lang w:eastAsia="en-GB"/>
        </w:rPr>
        <w:t xml:space="preserve">Turner Pope Investments (TPI) Ltd </w:t>
      </w:r>
      <w:r w:rsidRPr="00B3799A">
        <w:rPr>
          <w:rFonts w:ascii="Arial" w:eastAsia="Times New Roman" w:hAnsi="Arial" w:cs="Arial"/>
          <w:sz w:val="20"/>
          <w:szCs w:val="20"/>
          <w:lang w:eastAsia="en-GB"/>
        </w:rPr>
        <w:t xml:space="preserve">– </w:t>
      </w:r>
      <w:r w:rsidRPr="00B3799A">
        <w:rPr>
          <w:rFonts w:ascii="Arial" w:eastAsia="Times New Roman" w:hAnsi="Arial" w:cs="Arial"/>
          <w:b/>
          <w:bCs/>
          <w:sz w:val="20"/>
          <w:szCs w:val="20"/>
          <w:lang w:eastAsia="en-GB"/>
        </w:rPr>
        <w:t xml:space="preserve">Joint Broker </w:t>
      </w:r>
    </w:p>
    <w:p w14:paraId="654DC248" w14:textId="7DEBAF1D" w:rsidR="00B3799A" w:rsidRPr="00B3799A" w:rsidRDefault="00B3799A" w:rsidP="00B3799A">
      <w:pPr>
        <w:spacing w:before="100" w:beforeAutospacing="1" w:after="100" w:afterAutospacing="1"/>
        <w:contextualSpacing/>
        <w:rPr>
          <w:rFonts w:ascii="Arial" w:eastAsia="Times New Roman" w:hAnsi="Arial" w:cs="Arial"/>
          <w:sz w:val="20"/>
          <w:szCs w:val="20"/>
          <w:lang w:eastAsia="en-GB"/>
        </w:rPr>
      </w:pPr>
      <w:r w:rsidRPr="00B3799A">
        <w:rPr>
          <w:rFonts w:ascii="Arial" w:eastAsia="Times New Roman" w:hAnsi="Arial" w:cs="Arial"/>
          <w:sz w:val="20"/>
          <w:szCs w:val="20"/>
          <w:lang w:eastAsia="en-GB"/>
        </w:rPr>
        <w:t>Andy Thacker/</w:t>
      </w:r>
      <w:r w:rsidR="005961F4">
        <w:rPr>
          <w:rFonts w:ascii="Arial" w:eastAsia="Times New Roman" w:hAnsi="Arial" w:cs="Arial"/>
          <w:sz w:val="20"/>
          <w:szCs w:val="20"/>
          <w:lang w:eastAsia="en-GB"/>
        </w:rPr>
        <w:t>Guy Mc</w:t>
      </w:r>
      <w:r w:rsidR="005207B6">
        <w:rPr>
          <w:rFonts w:ascii="Arial" w:eastAsia="Times New Roman" w:hAnsi="Arial" w:cs="Arial"/>
          <w:sz w:val="20"/>
          <w:szCs w:val="20"/>
          <w:lang w:eastAsia="en-GB"/>
        </w:rPr>
        <w:t>D</w:t>
      </w:r>
      <w:r w:rsidR="005961F4">
        <w:rPr>
          <w:rFonts w:ascii="Arial" w:eastAsia="Times New Roman" w:hAnsi="Arial" w:cs="Arial"/>
          <w:sz w:val="20"/>
          <w:szCs w:val="20"/>
          <w:lang w:eastAsia="en-GB"/>
        </w:rPr>
        <w:t>ougal</w:t>
      </w:r>
      <w:r w:rsidR="005207B6">
        <w:rPr>
          <w:rFonts w:ascii="Arial" w:eastAsia="Times New Roman" w:hAnsi="Arial" w:cs="Arial"/>
          <w:sz w:val="20"/>
          <w:szCs w:val="20"/>
          <w:lang w:eastAsia="en-GB"/>
        </w:rPr>
        <w:t>l</w:t>
      </w:r>
      <w:r w:rsidRPr="00B3799A">
        <w:rPr>
          <w:rFonts w:ascii="Arial" w:eastAsia="Times New Roman" w:hAnsi="Arial" w:cs="Arial"/>
          <w:sz w:val="20"/>
          <w:szCs w:val="20"/>
          <w:lang w:eastAsia="en-GB"/>
        </w:rPr>
        <w:br/>
        <w:t xml:space="preserve">Tel: +44 (0)20 3657 0050 </w:t>
      </w:r>
    </w:p>
    <w:p w14:paraId="73234302" w14:textId="77777777" w:rsidR="00B3799A" w:rsidRPr="00B3799A" w:rsidRDefault="00B3799A" w:rsidP="00B3799A">
      <w:pPr>
        <w:spacing w:before="100" w:beforeAutospacing="1" w:after="100" w:afterAutospacing="1"/>
        <w:contextualSpacing/>
        <w:rPr>
          <w:rFonts w:ascii="Arial" w:eastAsia="Times New Roman" w:hAnsi="Arial" w:cs="Arial"/>
          <w:lang w:eastAsia="en-GB"/>
        </w:rPr>
      </w:pPr>
    </w:p>
    <w:p w14:paraId="2ACE916C" w14:textId="77777777" w:rsidR="00B3799A" w:rsidRPr="00B3799A" w:rsidRDefault="00B3799A" w:rsidP="00B3799A">
      <w:pPr>
        <w:spacing w:before="100" w:beforeAutospacing="1" w:after="100" w:afterAutospacing="1"/>
        <w:contextualSpacing/>
        <w:rPr>
          <w:rFonts w:ascii="Arial" w:eastAsia="Times New Roman" w:hAnsi="Arial" w:cs="Arial"/>
          <w:lang w:eastAsia="en-GB"/>
        </w:rPr>
      </w:pPr>
      <w:r w:rsidRPr="00B3799A">
        <w:rPr>
          <w:rFonts w:ascii="Arial" w:eastAsia="Times New Roman" w:hAnsi="Arial" w:cs="Arial"/>
          <w:b/>
          <w:bCs/>
          <w:sz w:val="20"/>
          <w:szCs w:val="20"/>
          <w:lang w:eastAsia="en-GB"/>
        </w:rPr>
        <w:t xml:space="preserve">Flagstaff Communications and Investor Communications </w:t>
      </w:r>
    </w:p>
    <w:p w14:paraId="04C4622A" w14:textId="77777777" w:rsidR="002F7700" w:rsidRDefault="00B3799A" w:rsidP="00B3799A">
      <w:pPr>
        <w:spacing w:before="100" w:beforeAutospacing="1" w:after="100" w:afterAutospacing="1"/>
        <w:contextualSpacing/>
        <w:rPr>
          <w:rFonts w:ascii="Arial" w:eastAsia="Times New Roman" w:hAnsi="Arial" w:cs="Arial"/>
          <w:sz w:val="20"/>
          <w:szCs w:val="20"/>
          <w:lang w:eastAsia="en-GB"/>
        </w:rPr>
      </w:pPr>
      <w:r w:rsidRPr="00B3799A">
        <w:rPr>
          <w:rFonts w:ascii="Arial" w:eastAsia="Times New Roman" w:hAnsi="Arial" w:cs="Arial"/>
          <w:sz w:val="20"/>
          <w:szCs w:val="20"/>
          <w:lang w:eastAsia="en-GB"/>
        </w:rPr>
        <w:t>Tim Thompson</w:t>
      </w:r>
    </w:p>
    <w:p w14:paraId="51ADB313" w14:textId="461FFF84" w:rsidR="00B3799A" w:rsidRPr="00B3799A" w:rsidRDefault="002F7700" w:rsidP="00B3799A">
      <w:pPr>
        <w:spacing w:before="100" w:beforeAutospacing="1" w:after="100" w:afterAutospacing="1"/>
        <w:contextualSpacing/>
        <w:rPr>
          <w:rFonts w:ascii="Arial" w:eastAsia="Times New Roman" w:hAnsi="Arial" w:cs="Arial"/>
          <w:sz w:val="20"/>
          <w:szCs w:val="20"/>
          <w:lang w:eastAsia="en-GB"/>
        </w:rPr>
      </w:pPr>
      <w:r>
        <w:rPr>
          <w:rFonts w:ascii="Arial" w:eastAsia="Times New Roman" w:hAnsi="Arial" w:cs="Arial"/>
          <w:sz w:val="20"/>
          <w:szCs w:val="20"/>
          <w:lang w:eastAsia="en-GB"/>
        </w:rPr>
        <w:t>Allison Allfrey</w:t>
      </w:r>
      <w:r w:rsidR="00B3799A" w:rsidRPr="00B3799A">
        <w:rPr>
          <w:rFonts w:ascii="Arial" w:eastAsia="Times New Roman" w:hAnsi="Arial" w:cs="Arial"/>
          <w:sz w:val="20"/>
          <w:szCs w:val="20"/>
          <w:lang w:eastAsia="en-GB"/>
        </w:rPr>
        <w:br/>
        <w:t>Mark Edwards</w:t>
      </w:r>
    </w:p>
    <w:p w14:paraId="0FBBCDC0" w14:textId="77777777" w:rsidR="00B3799A" w:rsidRPr="00B3799A" w:rsidRDefault="00B3799A" w:rsidP="00B3799A">
      <w:pPr>
        <w:spacing w:before="100" w:beforeAutospacing="1" w:after="100" w:afterAutospacing="1"/>
        <w:contextualSpacing/>
        <w:rPr>
          <w:rFonts w:ascii="Arial" w:eastAsia="Times New Roman" w:hAnsi="Arial" w:cs="Arial"/>
          <w:sz w:val="20"/>
          <w:szCs w:val="20"/>
          <w:lang w:eastAsia="en-GB"/>
        </w:rPr>
      </w:pPr>
      <w:r w:rsidRPr="00B3799A">
        <w:rPr>
          <w:rFonts w:ascii="Arial" w:eastAsia="Times New Roman" w:hAnsi="Arial" w:cs="Arial"/>
          <w:sz w:val="20"/>
          <w:szCs w:val="20"/>
          <w:lang w:eastAsia="en-GB"/>
        </w:rPr>
        <w:t xml:space="preserve">orosur@flagstaffcomms.com </w:t>
      </w:r>
    </w:p>
    <w:p w14:paraId="32D0FD2B" w14:textId="77777777" w:rsidR="00B3799A" w:rsidRPr="00B3799A" w:rsidRDefault="00B3799A" w:rsidP="00B3799A">
      <w:pPr>
        <w:spacing w:before="100" w:beforeAutospacing="1" w:after="100" w:afterAutospacing="1"/>
        <w:contextualSpacing/>
        <w:rPr>
          <w:rFonts w:ascii="Arial" w:eastAsia="Times New Roman" w:hAnsi="Arial" w:cs="Arial"/>
          <w:sz w:val="20"/>
          <w:szCs w:val="20"/>
          <w:lang w:eastAsia="en-GB"/>
        </w:rPr>
      </w:pPr>
      <w:r w:rsidRPr="00B3799A">
        <w:rPr>
          <w:rFonts w:ascii="Arial" w:eastAsia="Times New Roman" w:hAnsi="Arial" w:cs="Arial"/>
          <w:sz w:val="20"/>
          <w:szCs w:val="20"/>
          <w:lang w:eastAsia="en-GB"/>
        </w:rPr>
        <w:t xml:space="preserve">Tel: +44 (0)207 129 1474 </w:t>
      </w:r>
    </w:p>
    <w:p w14:paraId="168D19DD" w14:textId="77777777" w:rsidR="00B3799A" w:rsidRPr="00B3799A" w:rsidRDefault="00B3799A" w:rsidP="00B3799A">
      <w:pPr>
        <w:autoSpaceDE w:val="0"/>
        <w:autoSpaceDN w:val="0"/>
        <w:adjustRightInd w:val="0"/>
        <w:contextualSpacing/>
        <w:jc w:val="both"/>
        <w:rPr>
          <w:rFonts w:ascii="Arial" w:eastAsia="Times New Roman" w:hAnsi="Arial" w:cs="Arial"/>
          <w:sz w:val="20"/>
          <w:szCs w:val="20"/>
        </w:rPr>
      </w:pPr>
    </w:p>
    <w:p w14:paraId="3E25F273" w14:textId="77777777" w:rsidR="00B3799A" w:rsidRPr="00B3799A" w:rsidRDefault="00B3799A" w:rsidP="00B3799A">
      <w:pPr>
        <w:autoSpaceDE w:val="0"/>
        <w:autoSpaceDN w:val="0"/>
        <w:adjustRightInd w:val="0"/>
        <w:contextualSpacing/>
        <w:jc w:val="both"/>
        <w:rPr>
          <w:rFonts w:ascii="Arial" w:eastAsia="Times New Roman" w:hAnsi="Arial" w:cs="Arial"/>
          <w:bCs/>
          <w:sz w:val="20"/>
          <w:szCs w:val="20"/>
        </w:rPr>
      </w:pPr>
      <w:r w:rsidRPr="00B3799A">
        <w:rPr>
          <w:rFonts w:ascii="Arial" w:eastAsia="Times New Roman" w:hAnsi="Arial" w:cs="Arial"/>
          <w:bCs/>
          <w:sz w:val="20"/>
          <w:szCs w:val="20"/>
        </w:rPr>
        <w:t>The information contained within this announcement is deemed by the Company to constitute inside information as stipulated under the Market Abuse Regulations (EU) No. 596/2014 ('MAR') which has been incorporated into UK law by the European Union (Withdrawal) Act 2018. Upon the publication of this announcement via Regulatory Information Service ('RIS'), this inside information is now considered to be in the public domain.</w:t>
      </w:r>
    </w:p>
    <w:p w14:paraId="50D30456" w14:textId="77777777" w:rsidR="00B3799A" w:rsidRPr="00B3799A" w:rsidRDefault="00B3799A" w:rsidP="00B3799A">
      <w:pPr>
        <w:autoSpaceDE w:val="0"/>
        <w:autoSpaceDN w:val="0"/>
        <w:adjustRightInd w:val="0"/>
        <w:contextualSpacing/>
        <w:jc w:val="both"/>
        <w:rPr>
          <w:rFonts w:ascii="Arial" w:eastAsia="Times New Roman" w:hAnsi="Arial" w:cs="Arial"/>
          <w:bCs/>
          <w:sz w:val="20"/>
          <w:szCs w:val="20"/>
        </w:rPr>
      </w:pPr>
    </w:p>
    <w:p w14:paraId="35C490F1" w14:textId="3B46FAE9" w:rsidR="00B3799A" w:rsidRDefault="00B3799A" w:rsidP="009073E3">
      <w:pPr>
        <w:autoSpaceDE w:val="0"/>
        <w:autoSpaceDN w:val="0"/>
        <w:adjustRightInd w:val="0"/>
        <w:contextualSpacing/>
        <w:jc w:val="both"/>
        <w:rPr>
          <w:rFonts w:ascii="Arial" w:eastAsia="Times New Roman" w:hAnsi="Arial" w:cs="Arial"/>
          <w:bCs/>
          <w:sz w:val="20"/>
          <w:szCs w:val="20"/>
        </w:rPr>
      </w:pPr>
      <w:r w:rsidRPr="00B3799A">
        <w:rPr>
          <w:rFonts w:ascii="Arial" w:eastAsia="Times New Roman" w:hAnsi="Arial" w:cs="Arial"/>
          <w:bCs/>
          <w:sz w:val="20"/>
          <w:szCs w:val="20"/>
        </w:rPr>
        <w:t>Neither TSX Venture Exchange nor its Regulation Services Provider (as that term is defined in policies of the TSX Venture Exchange) accepts responsibility for the adequacy or accuracy of this release.</w:t>
      </w:r>
    </w:p>
    <w:p w14:paraId="6CAD1EDA" w14:textId="77777777" w:rsidR="009226B5" w:rsidRDefault="009226B5" w:rsidP="009073E3">
      <w:pPr>
        <w:autoSpaceDE w:val="0"/>
        <w:autoSpaceDN w:val="0"/>
        <w:adjustRightInd w:val="0"/>
        <w:contextualSpacing/>
        <w:jc w:val="both"/>
        <w:rPr>
          <w:rFonts w:ascii="Arial" w:eastAsia="Times New Roman" w:hAnsi="Arial" w:cs="Arial"/>
          <w:bCs/>
          <w:sz w:val="20"/>
          <w:szCs w:val="20"/>
        </w:rPr>
      </w:pPr>
    </w:p>
    <w:p w14:paraId="1548F297" w14:textId="77777777" w:rsidR="001B221A" w:rsidRPr="001B221A" w:rsidRDefault="001B221A" w:rsidP="001B221A">
      <w:pPr>
        <w:autoSpaceDE w:val="0"/>
        <w:autoSpaceDN w:val="0"/>
        <w:adjustRightInd w:val="0"/>
        <w:contextualSpacing/>
        <w:jc w:val="both"/>
        <w:rPr>
          <w:rFonts w:ascii="Arial" w:eastAsia="Times New Roman" w:hAnsi="Arial" w:cs="Arial"/>
          <w:bCs/>
          <w:sz w:val="20"/>
          <w:szCs w:val="20"/>
        </w:rPr>
      </w:pPr>
      <w:r w:rsidRPr="001B221A">
        <w:rPr>
          <w:rFonts w:ascii="Arial" w:eastAsia="Times New Roman" w:hAnsi="Arial" w:cs="Arial"/>
          <w:b/>
          <w:bCs/>
          <w:sz w:val="20"/>
          <w:szCs w:val="20"/>
        </w:rPr>
        <w:t>About Orosur Mining Inc.</w:t>
      </w:r>
    </w:p>
    <w:p w14:paraId="2A8F5A0E" w14:textId="77777777" w:rsidR="001B221A" w:rsidRPr="001B221A" w:rsidRDefault="001B221A" w:rsidP="001B221A">
      <w:pPr>
        <w:autoSpaceDE w:val="0"/>
        <w:autoSpaceDN w:val="0"/>
        <w:adjustRightInd w:val="0"/>
        <w:contextualSpacing/>
        <w:jc w:val="both"/>
        <w:rPr>
          <w:rFonts w:ascii="Arial" w:eastAsia="Times New Roman" w:hAnsi="Arial" w:cs="Arial"/>
          <w:bCs/>
          <w:sz w:val="20"/>
          <w:szCs w:val="20"/>
        </w:rPr>
      </w:pPr>
      <w:r w:rsidRPr="001B221A">
        <w:rPr>
          <w:rFonts w:ascii="Arial" w:eastAsia="Times New Roman" w:hAnsi="Arial" w:cs="Arial"/>
          <w:bCs/>
          <w:sz w:val="20"/>
          <w:szCs w:val="20"/>
        </w:rPr>
        <w:t>Orosur Mining Inc. (TSXV: OMI; AIM: OMI) is a minerals explorer and developer currently operating in Colombia and Argentina.</w:t>
      </w:r>
    </w:p>
    <w:p w14:paraId="587EA4B3" w14:textId="77777777" w:rsidR="001B221A" w:rsidRPr="001B221A" w:rsidRDefault="001B221A" w:rsidP="001B221A">
      <w:pPr>
        <w:autoSpaceDE w:val="0"/>
        <w:autoSpaceDN w:val="0"/>
        <w:adjustRightInd w:val="0"/>
        <w:contextualSpacing/>
        <w:jc w:val="both"/>
        <w:rPr>
          <w:rFonts w:ascii="Arial" w:eastAsia="Times New Roman" w:hAnsi="Arial" w:cs="Arial"/>
          <w:bCs/>
          <w:sz w:val="20"/>
          <w:szCs w:val="20"/>
        </w:rPr>
      </w:pPr>
    </w:p>
    <w:p w14:paraId="0D814A29" w14:textId="77777777" w:rsidR="001B221A" w:rsidRPr="001B221A" w:rsidRDefault="001B221A" w:rsidP="001B221A">
      <w:pPr>
        <w:autoSpaceDE w:val="0"/>
        <w:autoSpaceDN w:val="0"/>
        <w:adjustRightInd w:val="0"/>
        <w:contextualSpacing/>
        <w:jc w:val="both"/>
        <w:rPr>
          <w:rFonts w:ascii="Arial" w:eastAsia="Times New Roman" w:hAnsi="Arial" w:cs="Arial"/>
          <w:b/>
          <w:bCs/>
          <w:sz w:val="20"/>
          <w:szCs w:val="20"/>
        </w:rPr>
      </w:pPr>
      <w:r w:rsidRPr="001B221A">
        <w:rPr>
          <w:rFonts w:ascii="Arial" w:eastAsia="Times New Roman" w:hAnsi="Arial" w:cs="Arial"/>
          <w:b/>
          <w:bCs/>
          <w:sz w:val="20"/>
          <w:szCs w:val="20"/>
        </w:rPr>
        <w:t>Qualified Persons Statement</w:t>
      </w:r>
    </w:p>
    <w:p w14:paraId="3406C649" w14:textId="77777777" w:rsidR="001B221A" w:rsidRPr="001B221A" w:rsidRDefault="001B221A" w:rsidP="001B221A">
      <w:pPr>
        <w:autoSpaceDE w:val="0"/>
        <w:autoSpaceDN w:val="0"/>
        <w:adjustRightInd w:val="0"/>
        <w:contextualSpacing/>
        <w:jc w:val="both"/>
        <w:rPr>
          <w:rFonts w:ascii="Arial" w:eastAsia="Times New Roman" w:hAnsi="Arial" w:cs="Arial"/>
          <w:bCs/>
          <w:sz w:val="20"/>
          <w:szCs w:val="20"/>
        </w:rPr>
      </w:pPr>
      <w:r w:rsidRPr="001B221A">
        <w:rPr>
          <w:rFonts w:ascii="Arial" w:eastAsia="Times New Roman" w:hAnsi="Arial" w:cs="Arial"/>
          <w:bCs/>
          <w:sz w:val="20"/>
          <w:szCs w:val="20"/>
        </w:rPr>
        <w:t xml:space="preserve">The information in this news release was compiled, reviewed, verified and approved by Mr. Brad George, BSc Hons (Geology and Geophysics), MBA, Member of the Australian Institute of Geoscientists (MAIG), CEO of Orosur Mining Inc. and a qualified person as defined by National Instrument 43-101. </w:t>
      </w:r>
    </w:p>
    <w:p w14:paraId="02F1ABA0" w14:textId="77777777" w:rsidR="001B221A" w:rsidRPr="001B221A" w:rsidRDefault="001B221A" w:rsidP="001B221A">
      <w:pPr>
        <w:autoSpaceDE w:val="0"/>
        <w:autoSpaceDN w:val="0"/>
        <w:adjustRightInd w:val="0"/>
        <w:contextualSpacing/>
        <w:jc w:val="both"/>
        <w:rPr>
          <w:rFonts w:ascii="Arial" w:eastAsia="Times New Roman" w:hAnsi="Arial" w:cs="Arial"/>
          <w:bCs/>
          <w:sz w:val="20"/>
          <w:szCs w:val="20"/>
        </w:rPr>
      </w:pPr>
    </w:p>
    <w:p w14:paraId="0C51C915" w14:textId="77777777" w:rsidR="001B221A" w:rsidRPr="001B221A" w:rsidRDefault="001B221A" w:rsidP="001B221A">
      <w:pPr>
        <w:autoSpaceDE w:val="0"/>
        <w:autoSpaceDN w:val="0"/>
        <w:adjustRightInd w:val="0"/>
        <w:contextualSpacing/>
        <w:jc w:val="both"/>
        <w:rPr>
          <w:rFonts w:ascii="Arial" w:eastAsia="Times New Roman" w:hAnsi="Arial" w:cs="Arial"/>
          <w:bCs/>
          <w:sz w:val="20"/>
          <w:szCs w:val="20"/>
        </w:rPr>
      </w:pPr>
      <w:r w:rsidRPr="001B221A">
        <w:rPr>
          <w:rFonts w:ascii="Arial" w:eastAsia="Times New Roman" w:hAnsi="Arial" w:cs="Arial"/>
          <w:bCs/>
          <w:sz w:val="20"/>
          <w:szCs w:val="20"/>
        </w:rPr>
        <w:t xml:space="preserve">Orosur Mining Inc. staff follow standard operating and quality assurance procedures to ensure that sampling techniques and sample results meet international reporting standards. </w:t>
      </w:r>
    </w:p>
    <w:p w14:paraId="40E89F81" w14:textId="77777777" w:rsidR="00D95320" w:rsidRDefault="00D95320" w:rsidP="009073E3">
      <w:pPr>
        <w:autoSpaceDE w:val="0"/>
        <w:autoSpaceDN w:val="0"/>
        <w:adjustRightInd w:val="0"/>
        <w:contextualSpacing/>
        <w:jc w:val="both"/>
        <w:rPr>
          <w:rFonts w:ascii="Arial" w:eastAsia="Times New Roman" w:hAnsi="Arial" w:cs="Arial"/>
          <w:bCs/>
          <w:sz w:val="20"/>
          <w:szCs w:val="20"/>
        </w:rPr>
      </w:pPr>
    </w:p>
    <w:bookmarkEnd w:id="5"/>
    <w:p w14:paraId="7D9725C0" w14:textId="77777777" w:rsidR="003B4009" w:rsidRPr="003B4009" w:rsidRDefault="003B4009" w:rsidP="003B4009">
      <w:pPr>
        <w:autoSpaceDE w:val="0"/>
        <w:autoSpaceDN w:val="0"/>
        <w:adjustRightInd w:val="0"/>
        <w:contextualSpacing/>
        <w:jc w:val="both"/>
        <w:rPr>
          <w:rFonts w:ascii="Arial" w:eastAsia="Times New Roman" w:hAnsi="Arial" w:cs="Arial"/>
          <w:b/>
          <w:bCs/>
          <w:sz w:val="20"/>
          <w:szCs w:val="20"/>
        </w:rPr>
      </w:pPr>
      <w:r w:rsidRPr="003B4009">
        <w:rPr>
          <w:rFonts w:ascii="Arial" w:eastAsia="Times New Roman" w:hAnsi="Arial" w:cs="Arial"/>
          <w:b/>
          <w:bCs/>
          <w:sz w:val="20"/>
          <w:szCs w:val="20"/>
        </w:rPr>
        <w:t>Forward Looking Statements</w:t>
      </w:r>
    </w:p>
    <w:p w14:paraId="2A902652" w14:textId="77777777" w:rsidR="003B4009" w:rsidRPr="003B4009" w:rsidRDefault="003B4009" w:rsidP="003B4009">
      <w:pPr>
        <w:autoSpaceDE w:val="0"/>
        <w:autoSpaceDN w:val="0"/>
        <w:adjustRightInd w:val="0"/>
        <w:contextualSpacing/>
        <w:jc w:val="both"/>
        <w:rPr>
          <w:rFonts w:ascii="Arial" w:eastAsia="Times New Roman" w:hAnsi="Arial" w:cs="Arial"/>
          <w:bCs/>
          <w:sz w:val="20"/>
          <w:szCs w:val="20"/>
        </w:rPr>
      </w:pPr>
    </w:p>
    <w:p w14:paraId="771ADD18" w14:textId="77777777" w:rsidR="003B4009" w:rsidRPr="003B4009" w:rsidRDefault="003B4009" w:rsidP="003B4009">
      <w:pPr>
        <w:autoSpaceDE w:val="0"/>
        <w:autoSpaceDN w:val="0"/>
        <w:adjustRightInd w:val="0"/>
        <w:contextualSpacing/>
        <w:jc w:val="both"/>
        <w:rPr>
          <w:rFonts w:ascii="Arial" w:eastAsia="Times New Roman" w:hAnsi="Arial" w:cs="Arial"/>
          <w:bCs/>
          <w:sz w:val="20"/>
          <w:szCs w:val="20"/>
        </w:rPr>
      </w:pPr>
      <w:r w:rsidRPr="003B4009">
        <w:rPr>
          <w:rFonts w:ascii="Arial" w:eastAsia="Times New Roman" w:hAnsi="Arial" w:cs="Arial"/>
          <w:bCs/>
          <w:sz w:val="20"/>
          <w:szCs w:val="20"/>
        </w:rPr>
        <w:t>All statements, other than statements of historical fact, contained in this news release constitute “forward looking statements” within the meaning of applicable securities laws, including but not limited to the “safe harbour” provisions of the United States Private Securities Litigation Reform Act of 1995 and are based on expectations estimates and projections as of the date of this news release.</w:t>
      </w:r>
    </w:p>
    <w:p w14:paraId="5CA0E298" w14:textId="77777777" w:rsidR="003B4009" w:rsidRPr="003B4009" w:rsidRDefault="003B4009" w:rsidP="003B4009">
      <w:pPr>
        <w:autoSpaceDE w:val="0"/>
        <w:autoSpaceDN w:val="0"/>
        <w:adjustRightInd w:val="0"/>
        <w:contextualSpacing/>
        <w:jc w:val="both"/>
        <w:rPr>
          <w:rFonts w:ascii="Arial" w:eastAsia="Times New Roman" w:hAnsi="Arial" w:cs="Arial"/>
          <w:bCs/>
          <w:sz w:val="20"/>
          <w:szCs w:val="20"/>
        </w:rPr>
      </w:pPr>
    </w:p>
    <w:p w14:paraId="2321CB3F" w14:textId="77777777" w:rsidR="003B4009" w:rsidRPr="003B4009" w:rsidRDefault="003B4009" w:rsidP="003B4009">
      <w:pPr>
        <w:autoSpaceDE w:val="0"/>
        <w:autoSpaceDN w:val="0"/>
        <w:adjustRightInd w:val="0"/>
        <w:contextualSpacing/>
        <w:jc w:val="both"/>
        <w:rPr>
          <w:rFonts w:ascii="Arial" w:eastAsia="Times New Roman" w:hAnsi="Arial" w:cs="Arial"/>
          <w:bCs/>
          <w:sz w:val="20"/>
          <w:szCs w:val="20"/>
        </w:rPr>
      </w:pPr>
      <w:r w:rsidRPr="003B4009">
        <w:rPr>
          <w:rFonts w:ascii="Arial" w:eastAsia="Times New Roman" w:hAnsi="Arial" w:cs="Arial"/>
          <w:bCs/>
          <w:sz w:val="20"/>
          <w:szCs w:val="20"/>
        </w:rPr>
        <w:t xml:space="preserve">Forward-looking statements include, without limitation, the continuing focus on the </w:t>
      </w:r>
      <w:proofErr w:type="spellStart"/>
      <w:r w:rsidRPr="003B4009">
        <w:rPr>
          <w:rFonts w:ascii="Arial" w:eastAsia="Times New Roman" w:hAnsi="Arial" w:cs="Arial"/>
          <w:bCs/>
          <w:sz w:val="20"/>
          <w:szCs w:val="20"/>
        </w:rPr>
        <w:t>Pepas</w:t>
      </w:r>
      <w:proofErr w:type="spellEnd"/>
      <w:r w:rsidRPr="003B4009">
        <w:rPr>
          <w:rFonts w:ascii="Arial" w:eastAsia="Times New Roman" w:hAnsi="Arial" w:cs="Arial"/>
          <w:bCs/>
          <w:sz w:val="20"/>
          <w:szCs w:val="20"/>
        </w:rPr>
        <w:t xml:space="preserve"> prospect, the exploration plans in Colombia and the funding of those plans, and other events or conditions that may occur in the future. There can be no assurance that such statements will prove to be accurate. Actual results and future events could differ materially from those anticipated in such forward-looking statements. Such statements are subject to significant risks and uncertainties including, but not limited to, those described in the Section “Risks Factors” of the Company's MD&amp;A for the year ended May 31, 2025. The Company’s continuance as a going concern is dependent upon its ability to obtain adequate financing. This material uncertainty may cast significant doubt upon the Company’s ability to realize its assets and discharge its liabilities in the normal course of business and accordingly the appropriateness of the use of accounting principles applicable to a going concern. The Company disclaims any intention or obligation to update or revise any forward-looking statements whether as a result of new information, future events and such forward-looking statements, except to the extent required by applicable law. </w:t>
      </w:r>
    </w:p>
    <w:p w14:paraId="627EE42F" w14:textId="77777777" w:rsidR="003B4009" w:rsidRPr="003B4009" w:rsidRDefault="003B4009" w:rsidP="003B4009">
      <w:pPr>
        <w:autoSpaceDE w:val="0"/>
        <w:autoSpaceDN w:val="0"/>
        <w:adjustRightInd w:val="0"/>
        <w:contextualSpacing/>
        <w:jc w:val="both"/>
        <w:rPr>
          <w:rFonts w:ascii="Arial" w:eastAsia="Times New Roman" w:hAnsi="Arial" w:cs="Arial"/>
          <w:bCs/>
          <w:sz w:val="20"/>
          <w:szCs w:val="20"/>
        </w:rPr>
      </w:pPr>
    </w:p>
    <w:p w14:paraId="529BD3E7" w14:textId="77777777" w:rsidR="00B3799A" w:rsidRPr="005B06CE" w:rsidRDefault="00B3799A" w:rsidP="005B06CE">
      <w:pPr>
        <w:autoSpaceDE w:val="0"/>
        <w:autoSpaceDN w:val="0"/>
        <w:adjustRightInd w:val="0"/>
        <w:contextualSpacing/>
        <w:jc w:val="both"/>
        <w:rPr>
          <w:rFonts w:ascii="Arial" w:eastAsia="Times New Roman" w:hAnsi="Arial" w:cs="Arial"/>
          <w:bCs/>
          <w:sz w:val="20"/>
          <w:szCs w:val="20"/>
        </w:rPr>
      </w:pPr>
    </w:p>
    <w:p w14:paraId="2AD1BBB9" w14:textId="77777777" w:rsidR="000A53D5" w:rsidRDefault="000A53D5" w:rsidP="00195617">
      <w:pPr>
        <w:spacing w:after="160" w:line="259" w:lineRule="auto"/>
        <w:jc w:val="both"/>
        <w:rPr>
          <w:rFonts w:ascii="Arial" w:hAnsi="Arial" w:cs="Arial"/>
          <w:sz w:val="20"/>
          <w:szCs w:val="20"/>
          <w:lang w:val="en-US"/>
        </w:rPr>
      </w:pPr>
    </w:p>
    <w:p w14:paraId="0C103999" w14:textId="77777777" w:rsidR="000A53D5" w:rsidRDefault="000A53D5" w:rsidP="00195617">
      <w:pPr>
        <w:spacing w:after="160" w:line="259" w:lineRule="auto"/>
        <w:jc w:val="both"/>
        <w:rPr>
          <w:rFonts w:ascii="Arial" w:hAnsi="Arial" w:cs="Arial"/>
          <w:sz w:val="20"/>
          <w:szCs w:val="20"/>
          <w:lang w:val="en-US"/>
        </w:rPr>
      </w:pPr>
    </w:p>
    <w:p w14:paraId="012637BE" w14:textId="77777777" w:rsidR="000A53D5" w:rsidRDefault="000A53D5" w:rsidP="00195617">
      <w:pPr>
        <w:spacing w:after="160" w:line="259" w:lineRule="auto"/>
        <w:jc w:val="both"/>
        <w:rPr>
          <w:rFonts w:ascii="Arial" w:hAnsi="Arial" w:cs="Arial"/>
          <w:sz w:val="20"/>
          <w:szCs w:val="20"/>
          <w:lang w:val="en-US"/>
        </w:rPr>
      </w:pPr>
    </w:p>
    <w:p w14:paraId="149E5590" w14:textId="77777777" w:rsidR="000A53D5" w:rsidRDefault="000A53D5" w:rsidP="00195617">
      <w:pPr>
        <w:spacing w:after="160" w:line="259" w:lineRule="auto"/>
        <w:jc w:val="both"/>
        <w:rPr>
          <w:rFonts w:ascii="Arial" w:hAnsi="Arial" w:cs="Arial"/>
          <w:sz w:val="20"/>
          <w:szCs w:val="20"/>
          <w:lang w:val="en-US"/>
        </w:rPr>
      </w:pPr>
    </w:p>
    <w:p w14:paraId="75749116" w14:textId="77777777" w:rsidR="000A53D5" w:rsidRDefault="000A53D5" w:rsidP="00195617">
      <w:pPr>
        <w:spacing w:after="160" w:line="259" w:lineRule="auto"/>
        <w:jc w:val="both"/>
        <w:rPr>
          <w:rFonts w:ascii="Arial" w:hAnsi="Arial" w:cs="Arial"/>
          <w:sz w:val="20"/>
          <w:szCs w:val="20"/>
          <w:lang w:val="en-US"/>
        </w:rPr>
      </w:pPr>
    </w:p>
    <w:p w14:paraId="2B930E51" w14:textId="77777777" w:rsidR="000A53D5" w:rsidRDefault="000A53D5" w:rsidP="00195617">
      <w:pPr>
        <w:spacing w:after="160" w:line="259" w:lineRule="auto"/>
        <w:jc w:val="both"/>
        <w:rPr>
          <w:rFonts w:ascii="Arial" w:hAnsi="Arial" w:cs="Arial"/>
          <w:sz w:val="20"/>
          <w:szCs w:val="20"/>
          <w:lang w:val="en-US"/>
        </w:rPr>
      </w:pPr>
    </w:p>
    <w:p w14:paraId="545B0AFC" w14:textId="77777777" w:rsidR="000A53D5" w:rsidRDefault="000A53D5" w:rsidP="00195617">
      <w:pPr>
        <w:spacing w:after="160" w:line="259" w:lineRule="auto"/>
        <w:jc w:val="both"/>
        <w:rPr>
          <w:rFonts w:ascii="Arial" w:hAnsi="Arial" w:cs="Arial"/>
          <w:sz w:val="20"/>
          <w:szCs w:val="20"/>
          <w:lang w:val="en-US"/>
        </w:rPr>
      </w:pPr>
    </w:p>
    <w:p w14:paraId="4C33C82B" w14:textId="77777777" w:rsidR="000A53D5" w:rsidRDefault="000A53D5" w:rsidP="00195617">
      <w:pPr>
        <w:spacing w:after="160" w:line="259" w:lineRule="auto"/>
        <w:jc w:val="both"/>
        <w:rPr>
          <w:rFonts w:ascii="Arial" w:hAnsi="Arial" w:cs="Arial"/>
          <w:sz w:val="20"/>
          <w:szCs w:val="20"/>
          <w:lang w:val="en-US"/>
        </w:rPr>
      </w:pPr>
    </w:p>
    <w:p w14:paraId="4DAA9BF2" w14:textId="77777777" w:rsidR="000A53D5" w:rsidRDefault="000A53D5" w:rsidP="00195617">
      <w:pPr>
        <w:spacing w:after="160" w:line="259" w:lineRule="auto"/>
        <w:jc w:val="both"/>
        <w:rPr>
          <w:rFonts w:ascii="Arial" w:hAnsi="Arial" w:cs="Arial"/>
          <w:sz w:val="20"/>
          <w:szCs w:val="20"/>
          <w:lang w:val="en-US"/>
        </w:rPr>
      </w:pPr>
    </w:p>
    <w:p w14:paraId="0C20EF62" w14:textId="77777777" w:rsidR="000A53D5" w:rsidRDefault="000A53D5" w:rsidP="00195617">
      <w:pPr>
        <w:spacing w:after="160" w:line="259" w:lineRule="auto"/>
        <w:jc w:val="both"/>
        <w:rPr>
          <w:rFonts w:ascii="Arial" w:hAnsi="Arial" w:cs="Arial"/>
          <w:sz w:val="20"/>
          <w:szCs w:val="20"/>
          <w:lang w:val="en-US"/>
        </w:rPr>
      </w:pPr>
    </w:p>
    <w:p w14:paraId="673F3C78" w14:textId="77777777" w:rsidR="000A53D5" w:rsidRDefault="000A53D5" w:rsidP="00195617">
      <w:pPr>
        <w:spacing w:after="160" w:line="259" w:lineRule="auto"/>
        <w:jc w:val="both"/>
        <w:rPr>
          <w:rFonts w:ascii="Arial" w:hAnsi="Arial" w:cs="Arial"/>
          <w:sz w:val="20"/>
          <w:szCs w:val="20"/>
          <w:lang w:val="en-US"/>
        </w:rPr>
      </w:pPr>
    </w:p>
    <w:p w14:paraId="09E00E0A" w14:textId="77777777" w:rsidR="000A53D5" w:rsidRDefault="000A53D5" w:rsidP="00195617">
      <w:pPr>
        <w:spacing w:after="160" w:line="259" w:lineRule="auto"/>
        <w:jc w:val="both"/>
        <w:rPr>
          <w:rFonts w:ascii="Arial" w:hAnsi="Arial" w:cs="Arial"/>
          <w:sz w:val="20"/>
          <w:szCs w:val="20"/>
          <w:lang w:val="en-US"/>
        </w:rPr>
      </w:pPr>
    </w:p>
    <w:p w14:paraId="2CEC84F5" w14:textId="77777777" w:rsidR="000A53D5" w:rsidRDefault="000A53D5" w:rsidP="00195617">
      <w:pPr>
        <w:spacing w:after="160" w:line="259" w:lineRule="auto"/>
        <w:jc w:val="both"/>
        <w:rPr>
          <w:rFonts w:ascii="Arial" w:hAnsi="Arial" w:cs="Arial"/>
          <w:sz w:val="20"/>
          <w:szCs w:val="20"/>
          <w:lang w:val="en-US"/>
        </w:rPr>
      </w:pPr>
    </w:p>
    <w:p w14:paraId="6BDEEE5C" w14:textId="77777777" w:rsidR="000A53D5" w:rsidRDefault="000A53D5" w:rsidP="00195617">
      <w:pPr>
        <w:spacing w:after="160" w:line="259" w:lineRule="auto"/>
        <w:jc w:val="both"/>
        <w:rPr>
          <w:rFonts w:ascii="Arial" w:hAnsi="Arial" w:cs="Arial"/>
          <w:sz w:val="20"/>
          <w:szCs w:val="20"/>
          <w:lang w:val="en-US"/>
        </w:rPr>
      </w:pPr>
    </w:p>
    <w:p w14:paraId="43B320F7" w14:textId="77777777" w:rsidR="000A53D5" w:rsidRDefault="000A53D5" w:rsidP="00195617">
      <w:pPr>
        <w:spacing w:after="160" w:line="259" w:lineRule="auto"/>
        <w:jc w:val="both"/>
        <w:rPr>
          <w:rFonts w:ascii="Arial" w:hAnsi="Arial" w:cs="Arial"/>
          <w:sz w:val="20"/>
          <w:szCs w:val="20"/>
          <w:lang w:val="en-US"/>
        </w:rPr>
      </w:pPr>
    </w:p>
    <w:p w14:paraId="15531604" w14:textId="77777777" w:rsidR="000A53D5" w:rsidRDefault="000A53D5" w:rsidP="00195617">
      <w:pPr>
        <w:spacing w:after="160" w:line="259" w:lineRule="auto"/>
        <w:jc w:val="both"/>
        <w:rPr>
          <w:rFonts w:ascii="Arial" w:hAnsi="Arial" w:cs="Arial"/>
          <w:sz w:val="20"/>
          <w:szCs w:val="20"/>
          <w:lang w:val="en-US"/>
        </w:rPr>
      </w:pPr>
    </w:p>
    <w:p w14:paraId="3E1C2153" w14:textId="77777777" w:rsidR="000A53D5" w:rsidRDefault="000A53D5" w:rsidP="00195617">
      <w:pPr>
        <w:spacing w:after="160" w:line="259" w:lineRule="auto"/>
        <w:jc w:val="both"/>
        <w:rPr>
          <w:rFonts w:ascii="Arial" w:hAnsi="Arial" w:cs="Arial"/>
          <w:sz w:val="20"/>
          <w:szCs w:val="20"/>
          <w:lang w:val="en-US"/>
        </w:rPr>
      </w:pPr>
    </w:p>
    <w:p w14:paraId="6FE39F6F" w14:textId="77777777" w:rsidR="000A53D5" w:rsidRDefault="000A53D5" w:rsidP="00195617">
      <w:pPr>
        <w:spacing w:after="160" w:line="259" w:lineRule="auto"/>
        <w:jc w:val="both"/>
        <w:rPr>
          <w:rFonts w:ascii="Arial" w:hAnsi="Arial" w:cs="Arial"/>
          <w:sz w:val="20"/>
          <w:szCs w:val="20"/>
          <w:lang w:val="en-US"/>
        </w:rPr>
      </w:pPr>
    </w:p>
    <w:p w14:paraId="48AF988F" w14:textId="77777777" w:rsidR="000A53D5" w:rsidRDefault="000A53D5" w:rsidP="00195617">
      <w:pPr>
        <w:spacing w:after="160" w:line="259" w:lineRule="auto"/>
        <w:jc w:val="both"/>
        <w:rPr>
          <w:rFonts w:ascii="Arial" w:hAnsi="Arial" w:cs="Arial"/>
          <w:sz w:val="20"/>
          <w:szCs w:val="20"/>
          <w:lang w:val="en-US"/>
        </w:rPr>
      </w:pPr>
    </w:p>
    <w:p w14:paraId="0E03EFDA" w14:textId="77777777" w:rsidR="000A53D5" w:rsidRDefault="000A53D5" w:rsidP="00195617">
      <w:pPr>
        <w:spacing w:after="160" w:line="259" w:lineRule="auto"/>
        <w:jc w:val="both"/>
        <w:rPr>
          <w:rFonts w:ascii="Arial" w:hAnsi="Arial" w:cs="Arial"/>
          <w:sz w:val="20"/>
          <w:szCs w:val="20"/>
          <w:lang w:val="en-US"/>
        </w:rPr>
      </w:pPr>
    </w:p>
    <w:p w14:paraId="21133A43" w14:textId="77777777" w:rsidR="000A53D5" w:rsidRDefault="000A53D5" w:rsidP="00195617">
      <w:pPr>
        <w:spacing w:after="160" w:line="259" w:lineRule="auto"/>
        <w:jc w:val="both"/>
        <w:rPr>
          <w:rFonts w:ascii="Arial" w:hAnsi="Arial" w:cs="Arial"/>
          <w:sz w:val="20"/>
          <w:szCs w:val="20"/>
          <w:lang w:val="en-US"/>
        </w:rPr>
      </w:pPr>
    </w:p>
    <w:p w14:paraId="54415283" w14:textId="77777777" w:rsidR="000A53D5" w:rsidRDefault="000A53D5" w:rsidP="00195617">
      <w:pPr>
        <w:spacing w:after="160" w:line="259" w:lineRule="auto"/>
        <w:jc w:val="both"/>
        <w:rPr>
          <w:rFonts w:ascii="Arial" w:hAnsi="Arial" w:cs="Arial"/>
          <w:sz w:val="20"/>
          <w:szCs w:val="20"/>
          <w:lang w:val="en-US"/>
        </w:rPr>
      </w:pPr>
    </w:p>
    <w:p w14:paraId="57422451" w14:textId="77777777" w:rsidR="000A53D5" w:rsidRDefault="000A53D5" w:rsidP="00195617">
      <w:pPr>
        <w:spacing w:after="160" w:line="259" w:lineRule="auto"/>
        <w:jc w:val="both"/>
        <w:rPr>
          <w:rFonts w:ascii="Arial" w:hAnsi="Arial" w:cs="Arial"/>
          <w:sz w:val="20"/>
          <w:szCs w:val="20"/>
          <w:lang w:val="en-US"/>
        </w:rPr>
      </w:pPr>
    </w:p>
    <w:p w14:paraId="6E95BC8B" w14:textId="77777777" w:rsidR="000A53D5" w:rsidRDefault="000A53D5" w:rsidP="00195617">
      <w:pPr>
        <w:spacing w:after="160" w:line="259" w:lineRule="auto"/>
        <w:jc w:val="both"/>
        <w:rPr>
          <w:rFonts w:ascii="Arial" w:hAnsi="Arial" w:cs="Arial"/>
          <w:sz w:val="20"/>
          <w:szCs w:val="20"/>
          <w:lang w:val="en-US"/>
        </w:rPr>
      </w:pPr>
    </w:p>
    <w:p w14:paraId="671F95C0" w14:textId="77777777" w:rsidR="000A53D5" w:rsidRDefault="000A53D5" w:rsidP="00195617">
      <w:pPr>
        <w:spacing w:after="160" w:line="259" w:lineRule="auto"/>
        <w:jc w:val="both"/>
        <w:rPr>
          <w:rFonts w:ascii="Arial" w:hAnsi="Arial" w:cs="Arial"/>
          <w:sz w:val="20"/>
          <w:szCs w:val="20"/>
          <w:lang w:val="en-US"/>
        </w:rPr>
      </w:pPr>
    </w:p>
    <w:bookmarkEnd w:id="4"/>
    <w:p w14:paraId="0BC9AE6B" w14:textId="77777777" w:rsidR="000A53D5" w:rsidRDefault="000A53D5" w:rsidP="00195617">
      <w:pPr>
        <w:spacing w:after="160" w:line="259" w:lineRule="auto"/>
        <w:jc w:val="both"/>
        <w:rPr>
          <w:rFonts w:ascii="Arial" w:hAnsi="Arial" w:cs="Arial"/>
          <w:sz w:val="20"/>
          <w:szCs w:val="20"/>
          <w:lang w:val="en-US"/>
        </w:rPr>
      </w:pPr>
    </w:p>
    <w:sectPr w:rsidR="000A53D5" w:rsidSect="00D960EC">
      <w:headerReference w:type="first" r:id="rId14"/>
      <w:pgSz w:w="11900" w:h="16840"/>
      <w:pgMar w:top="1440" w:right="144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0F39" w14:textId="77777777" w:rsidR="00184B16" w:rsidRDefault="00184B16" w:rsidP="007C5C58">
      <w:r>
        <w:separator/>
      </w:r>
    </w:p>
  </w:endnote>
  <w:endnote w:type="continuationSeparator" w:id="0">
    <w:p w14:paraId="12FB3003" w14:textId="77777777" w:rsidR="00184B16" w:rsidRDefault="00184B16" w:rsidP="007C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6B59" w14:textId="77777777" w:rsidR="00184B16" w:rsidRDefault="00184B16" w:rsidP="007C5C58">
      <w:r>
        <w:separator/>
      </w:r>
    </w:p>
  </w:footnote>
  <w:footnote w:type="continuationSeparator" w:id="0">
    <w:p w14:paraId="44245917" w14:textId="77777777" w:rsidR="00184B16" w:rsidRDefault="00184B16" w:rsidP="007C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80CC" w14:textId="5CDA9D70" w:rsidR="003945CD" w:rsidRDefault="00394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48C"/>
    <w:multiLevelType w:val="multilevel"/>
    <w:tmpl w:val="ABF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C7FBC"/>
    <w:multiLevelType w:val="multilevel"/>
    <w:tmpl w:val="2A1C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96E3E"/>
    <w:multiLevelType w:val="hybridMultilevel"/>
    <w:tmpl w:val="FDDE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42FFC"/>
    <w:multiLevelType w:val="hybridMultilevel"/>
    <w:tmpl w:val="1358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A2036"/>
    <w:multiLevelType w:val="hybridMultilevel"/>
    <w:tmpl w:val="DAA8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81ED7"/>
    <w:multiLevelType w:val="hybridMultilevel"/>
    <w:tmpl w:val="84A66836"/>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15:restartNumberingAfterBreak="0">
    <w:nsid w:val="29B4181E"/>
    <w:multiLevelType w:val="hybridMultilevel"/>
    <w:tmpl w:val="BD7E2448"/>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7" w15:restartNumberingAfterBreak="0">
    <w:nsid w:val="2A9C6FD8"/>
    <w:multiLevelType w:val="hybridMultilevel"/>
    <w:tmpl w:val="0692773A"/>
    <w:lvl w:ilvl="0" w:tplc="1E0CF49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AC1167"/>
    <w:multiLevelType w:val="hybridMultilevel"/>
    <w:tmpl w:val="96AE0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974938">
    <w:abstractNumId w:val="0"/>
  </w:num>
  <w:num w:numId="2" w16cid:durableId="639845420">
    <w:abstractNumId w:val="4"/>
  </w:num>
  <w:num w:numId="3" w16cid:durableId="1578441790">
    <w:abstractNumId w:val="8"/>
  </w:num>
  <w:num w:numId="4" w16cid:durableId="1651251222">
    <w:abstractNumId w:val="3"/>
  </w:num>
  <w:num w:numId="5" w16cid:durableId="354579436">
    <w:abstractNumId w:val="6"/>
  </w:num>
  <w:num w:numId="6" w16cid:durableId="1048803727">
    <w:abstractNumId w:val="7"/>
  </w:num>
  <w:num w:numId="7" w16cid:durableId="639113820">
    <w:abstractNumId w:val="5"/>
  </w:num>
  <w:num w:numId="8" w16cid:durableId="661861219">
    <w:abstractNumId w:val="2"/>
  </w:num>
  <w:num w:numId="9" w16cid:durableId="156424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4F8B"/>
    <w:rsid w:val="00015EA5"/>
    <w:rsid w:val="0002244A"/>
    <w:rsid w:val="0003107A"/>
    <w:rsid w:val="00055BBE"/>
    <w:rsid w:val="0006322F"/>
    <w:rsid w:val="000643F3"/>
    <w:rsid w:val="00065AFF"/>
    <w:rsid w:val="0007265C"/>
    <w:rsid w:val="00073892"/>
    <w:rsid w:val="00076CD0"/>
    <w:rsid w:val="00092D00"/>
    <w:rsid w:val="000A2965"/>
    <w:rsid w:val="000A53D5"/>
    <w:rsid w:val="000B2108"/>
    <w:rsid w:val="000C6C0B"/>
    <w:rsid w:val="000C73BD"/>
    <w:rsid w:val="000D4BBC"/>
    <w:rsid w:val="000D6C8D"/>
    <w:rsid w:val="000E1942"/>
    <w:rsid w:val="000E30E1"/>
    <w:rsid w:val="001014E0"/>
    <w:rsid w:val="00111318"/>
    <w:rsid w:val="00113419"/>
    <w:rsid w:val="00120934"/>
    <w:rsid w:val="00137D8E"/>
    <w:rsid w:val="00140CF6"/>
    <w:rsid w:val="00142F31"/>
    <w:rsid w:val="00144482"/>
    <w:rsid w:val="0014688A"/>
    <w:rsid w:val="001468EC"/>
    <w:rsid w:val="00146C63"/>
    <w:rsid w:val="0015238C"/>
    <w:rsid w:val="00171A19"/>
    <w:rsid w:val="00171E82"/>
    <w:rsid w:val="00172972"/>
    <w:rsid w:val="0017355A"/>
    <w:rsid w:val="00175703"/>
    <w:rsid w:val="00176F3C"/>
    <w:rsid w:val="00184B16"/>
    <w:rsid w:val="00184BFE"/>
    <w:rsid w:val="00191F07"/>
    <w:rsid w:val="00193959"/>
    <w:rsid w:val="00195617"/>
    <w:rsid w:val="00195B36"/>
    <w:rsid w:val="001964B7"/>
    <w:rsid w:val="001965EF"/>
    <w:rsid w:val="001A01EE"/>
    <w:rsid w:val="001A708A"/>
    <w:rsid w:val="001B221A"/>
    <w:rsid w:val="001B7CF8"/>
    <w:rsid w:val="001C7258"/>
    <w:rsid w:val="001D4842"/>
    <w:rsid w:val="001D762C"/>
    <w:rsid w:val="001E17F6"/>
    <w:rsid w:val="001E2D7C"/>
    <w:rsid w:val="001E34A4"/>
    <w:rsid w:val="001E4440"/>
    <w:rsid w:val="001E5E10"/>
    <w:rsid w:val="001E7F29"/>
    <w:rsid w:val="001F3AC8"/>
    <w:rsid w:val="001F7433"/>
    <w:rsid w:val="0020044F"/>
    <w:rsid w:val="00203FAC"/>
    <w:rsid w:val="0020410E"/>
    <w:rsid w:val="002056EC"/>
    <w:rsid w:val="00211E30"/>
    <w:rsid w:val="002145FE"/>
    <w:rsid w:val="00220C5A"/>
    <w:rsid w:val="00221547"/>
    <w:rsid w:val="00227E9E"/>
    <w:rsid w:val="0023073C"/>
    <w:rsid w:val="00235BF8"/>
    <w:rsid w:val="00242380"/>
    <w:rsid w:val="00242C6D"/>
    <w:rsid w:val="00250446"/>
    <w:rsid w:val="00267DAD"/>
    <w:rsid w:val="002725D2"/>
    <w:rsid w:val="00273DE5"/>
    <w:rsid w:val="00283B88"/>
    <w:rsid w:val="00284AA6"/>
    <w:rsid w:val="00293E74"/>
    <w:rsid w:val="002A7DFA"/>
    <w:rsid w:val="002B433D"/>
    <w:rsid w:val="002B45C5"/>
    <w:rsid w:val="002C1124"/>
    <w:rsid w:val="002C3165"/>
    <w:rsid w:val="002C51DC"/>
    <w:rsid w:val="002C6F0B"/>
    <w:rsid w:val="002D36BC"/>
    <w:rsid w:val="002E5D75"/>
    <w:rsid w:val="002F0600"/>
    <w:rsid w:val="002F1738"/>
    <w:rsid w:val="002F48E3"/>
    <w:rsid w:val="002F6D79"/>
    <w:rsid w:val="002F7700"/>
    <w:rsid w:val="003004B3"/>
    <w:rsid w:val="00304F76"/>
    <w:rsid w:val="00314032"/>
    <w:rsid w:val="00317A28"/>
    <w:rsid w:val="00323F04"/>
    <w:rsid w:val="0032481F"/>
    <w:rsid w:val="00326DDB"/>
    <w:rsid w:val="0032725E"/>
    <w:rsid w:val="00330BCC"/>
    <w:rsid w:val="00335EB9"/>
    <w:rsid w:val="00341677"/>
    <w:rsid w:val="00354D1A"/>
    <w:rsid w:val="00361EAB"/>
    <w:rsid w:val="00363006"/>
    <w:rsid w:val="00364289"/>
    <w:rsid w:val="00366B80"/>
    <w:rsid w:val="00370900"/>
    <w:rsid w:val="0038002E"/>
    <w:rsid w:val="00380E94"/>
    <w:rsid w:val="003945CD"/>
    <w:rsid w:val="00396783"/>
    <w:rsid w:val="003A769A"/>
    <w:rsid w:val="003B0B53"/>
    <w:rsid w:val="003B217E"/>
    <w:rsid w:val="003B2BFF"/>
    <w:rsid w:val="003B4009"/>
    <w:rsid w:val="003B40D1"/>
    <w:rsid w:val="003C0B76"/>
    <w:rsid w:val="003C2728"/>
    <w:rsid w:val="003C27EF"/>
    <w:rsid w:val="003C677B"/>
    <w:rsid w:val="003C6974"/>
    <w:rsid w:val="003D77BC"/>
    <w:rsid w:val="003E5900"/>
    <w:rsid w:val="003E5DEF"/>
    <w:rsid w:val="003E6BF1"/>
    <w:rsid w:val="004036C0"/>
    <w:rsid w:val="00410DD0"/>
    <w:rsid w:val="00412E66"/>
    <w:rsid w:val="004264CF"/>
    <w:rsid w:val="004336A8"/>
    <w:rsid w:val="00435796"/>
    <w:rsid w:val="00444DE0"/>
    <w:rsid w:val="0045190F"/>
    <w:rsid w:val="00454E93"/>
    <w:rsid w:val="0045528E"/>
    <w:rsid w:val="00455DA9"/>
    <w:rsid w:val="00461A93"/>
    <w:rsid w:val="0046612F"/>
    <w:rsid w:val="0047349B"/>
    <w:rsid w:val="00476A6B"/>
    <w:rsid w:val="00483DA5"/>
    <w:rsid w:val="004922EC"/>
    <w:rsid w:val="004973BC"/>
    <w:rsid w:val="00497A72"/>
    <w:rsid w:val="004A2259"/>
    <w:rsid w:val="004A5BC6"/>
    <w:rsid w:val="004B3107"/>
    <w:rsid w:val="004C2B67"/>
    <w:rsid w:val="004C2BBC"/>
    <w:rsid w:val="004C3610"/>
    <w:rsid w:val="004D20CB"/>
    <w:rsid w:val="004D423E"/>
    <w:rsid w:val="004D6063"/>
    <w:rsid w:val="004D7FC2"/>
    <w:rsid w:val="004E1715"/>
    <w:rsid w:val="004E32B1"/>
    <w:rsid w:val="004F1AB9"/>
    <w:rsid w:val="004F45E4"/>
    <w:rsid w:val="005048FE"/>
    <w:rsid w:val="00505FF7"/>
    <w:rsid w:val="0051015B"/>
    <w:rsid w:val="005120A9"/>
    <w:rsid w:val="0051217A"/>
    <w:rsid w:val="005207B6"/>
    <w:rsid w:val="00532968"/>
    <w:rsid w:val="005415CF"/>
    <w:rsid w:val="00557DD6"/>
    <w:rsid w:val="00567392"/>
    <w:rsid w:val="00573465"/>
    <w:rsid w:val="0057565F"/>
    <w:rsid w:val="00577620"/>
    <w:rsid w:val="005808AC"/>
    <w:rsid w:val="0058274C"/>
    <w:rsid w:val="005834C0"/>
    <w:rsid w:val="00593774"/>
    <w:rsid w:val="005942F4"/>
    <w:rsid w:val="005961F4"/>
    <w:rsid w:val="005A113F"/>
    <w:rsid w:val="005A1D19"/>
    <w:rsid w:val="005A351B"/>
    <w:rsid w:val="005A5602"/>
    <w:rsid w:val="005A7BF0"/>
    <w:rsid w:val="005B06CE"/>
    <w:rsid w:val="005B3A46"/>
    <w:rsid w:val="005B640A"/>
    <w:rsid w:val="005C4453"/>
    <w:rsid w:val="005C6D73"/>
    <w:rsid w:val="005C7F70"/>
    <w:rsid w:val="005D0165"/>
    <w:rsid w:val="005D097F"/>
    <w:rsid w:val="005D58C9"/>
    <w:rsid w:val="005E2C4B"/>
    <w:rsid w:val="005F72BC"/>
    <w:rsid w:val="0060002F"/>
    <w:rsid w:val="00603CC5"/>
    <w:rsid w:val="00613E16"/>
    <w:rsid w:val="00614005"/>
    <w:rsid w:val="00624A5F"/>
    <w:rsid w:val="0062652C"/>
    <w:rsid w:val="006400DA"/>
    <w:rsid w:val="00640CE1"/>
    <w:rsid w:val="00645854"/>
    <w:rsid w:val="00647546"/>
    <w:rsid w:val="00650049"/>
    <w:rsid w:val="00654FE7"/>
    <w:rsid w:val="006565F4"/>
    <w:rsid w:val="006569C6"/>
    <w:rsid w:val="006572B1"/>
    <w:rsid w:val="00662EAC"/>
    <w:rsid w:val="00670399"/>
    <w:rsid w:val="00672955"/>
    <w:rsid w:val="00675264"/>
    <w:rsid w:val="00676A03"/>
    <w:rsid w:val="00677823"/>
    <w:rsid w:val="00682381"/>
    <w:rsid w:val="006847AD"/>
    <w:rsid w:val="006941EA"/>
    <w:rsid w:val="006A474F"/>
    <w:rsid w:val="006B6826"/>
    <w:rsid w:val="006B6B82"/>
    <w:rsid w:val="006C0C53"/>
    <w:rsid w:val="006C1E21"/>
    <w:rsid w:val="006C6734"/>
    <w:rsid w:val="006E00F0"/>
    <w:rsid w:val="006E30EF"/>
    <w:rsid w:val="006F2159"/>
    <w:rsid w:val="006F2828"/>
    <w:rsid w:val="007008B7"/>
    <w:rsid w:val="00700CE4"/>
    <w:rsid w:val="00716FF7"/>
    <w:rsid w:val="0072091E"/>
    <w:rsid w:val="00722EC2"/>
    <w:rsid w:val="0073230D"/>
    <w:rsid w:val="00736BC3"/>
    <w:rsid w:val="00744370"/>
    <w:rsid w:val="0074582D"/>
    <w:rsid w:val="0074641F"/>
    <w:rsid w:val="0075029B"/>
    <w:rsid w:val="00751253"/>
    <w:rsid w:val="0075450A"/>
    <w:rsid w:val="00760298"/>
    <w:rsid w:val="00760655"/>
    <w:rsid w:val="00763E4E"/>
    <w:rsid w:val="0076448D"/>
    <w:rsid w:val="00765B2C"/>
    <w:rsid w:val="007678AD"/>
    <w:rsid w:val="0077311A"/>
    <w:rsid w:val="007749BF"/>
    <w:rsid w:val="007765BA"/>
    <w:rsid w:val="0078245F"/>
    <w:rsid w:val="00784F58"/>
    <w:rsid w:val="00786455"/>
    <w:rsid w:val="0079291C"/>
    <w:rsid w:val="007A3B67"/>
    <w:rsid w:val="007B0635"/>
    <w:rsid w:val="007C58D8"/>
    <w:rsid w:val="007C5C58"/>
    <w:rsid w:val="007D0DCE"/>
    <w:rsid w:val="007D1532"/>
    <w:rsid w:val="007D4AAB"/>
    <w:rsid w:val="007E25B2"/>
    <w:rsid w:val="007E4438"/>
    <w:rsid w:val="007E51A5"/>
    <w:rsid w:val="007F0530"/>
    <w:rsid w:val="00807DE7"/>
    <w:rsid w:val="008104DD"/>
    <w:rsid w:val="00810C5E"/>
    <w:rsid w:val="00811D54"/>
    <w:rsid w:val="00813AD9"/>
    <w:rsid w:val="0083688C"/>
    <w:rsid w:val="0084463C"/>
    <w:rsid w:val="008548E9"/>
    <w:rsid w:val="0085505B"/>
    <w:rsid w:val="008606F6"/>
    <w:rsid w:val="008673B4"/>
    <w:rsid w:val="00874E04"/>
    <w:rsid w:val="0087657F"/>
    <w:rsid w:val="008777D5"/>
    <w:rsid w:val="008815BC"/>
    <w:rsid w:val="00882D62"/>
    <w:rsid w:val="00887B32"/>
    <w:rsid w:val="00887F3F"/>
    <w:rsid w:val="008900FB"/>
    <w:rsid w:val="00893246"/>
    <w:rsid w:val="008A5651"/>
    <w:rsid w:val="008A5C27"/>
    <w:rsid w:val="008B6BD3"/>
    <w:rsid w:val="008C20A5"/>
    <w:rsid w:val="008D459B"/>
    <w:rsid w:val="008E039B"/>
    <w:rsid w:val="008E287C"/>
    <w:rsid w:val="008E4A03"/>
    <w:rsid w:val="008F1C01"/>
    <w:rsid w:val="008F37AF"/>
    <w:rsid w:val="0090177D"/>
    <w:rsid w:val="00901DD7"/>
    <w:rsid w:val="00903D01"/>
    <w:rsid w:val="00904FB6"/>
    <w:rsid w:val="009073E3"/>
    <w:rsid w:val="009074EF"/>
    <w:rsid w:val="009150EE"/>
    <w:rsid w:val="00920627"/>
    <w:rsid w:val="009226B5"/>
    <w:rsid w:val="00925C58"/>
    <w:rsid w:val="00937467"/>
    <w:rsid w:val="00945CC6"/>
    <w:rsid w:val="00946820"/>
    <w:rsid w:val="00952954"/>
    <w:rsid w:val="009535A2"/>
    <w:rsid w:val="00954113"/>
    <w:rsid w:val="00957C0C"/>
    <w:rsid w:val="0096168E"/>
    <w:rsid w:val="00961D86"/>
    <w:rsid w:val="00962DA3"/>
    <w:rsid w:val="00983482"/>
    <w:rsid w:val="0098387D"/>
    <w:rsid w:val="00984487"/>
    <w:rsid w:val="0098586E"/>
    <w:rsid w:val="009A1F7D"/>
    <w:rsid w:val="009A331A"/>
    <w:rsid w:val="009A5181"/>
    <w:rsid w:val="009B2616"/>
    <w:rsid w:val="009B3E43"/>
    <w:rsid w:val="009C05EE"/>
    <w:rsid w:val="009C4189"/>
    <w:rsid w:val="009C5D78"/>
    <w:rsid w:val="009E1C43"/>
    <w:rsid w:val="009F0764"/>
    <w:rsid w:val="009F545D"/>
    <w:rsid w:val="00A04782"/>
    <w:rsid w:val="00A06D15"/>
    <w:rsid w:val="00A102ED"/>
    <w:rsid w:val="00A147FE"/>
    <w:rsid w:val="00A1516F"/>
    <w:rsid w:val="00A15F0A"/>
    <w:rsid w:val="00A22031"/>
    <w:rsid w:val="00A252AF"/>
    <w:rsid w:val="00A30F7B"/>
    <w:rsid w:val="00A31934"/>
    <w:rsid w:val="00A329B6"/>
    <w:rsid w:val="00A33624"/>
    <w:rsid w:val="00A35CA6"/>
    <w:rsid w:val="00A46BAF"/>
    <w:rsid w:val="00A5251E"/>
    <w:rsid w:val="00A534E3"/>
    <w:rsid w:val="00A57F66"/>
    <w:rsid w:val="00A6352A"/>
    <w:rsid w:val="00A6611E"/>
    <w:rsid w:val="00A81644"/>
    <w:rsid w:val="00A87447"/>
    <w:rsid w:val="00A87A1C"/>
    <w:rsid w:val="00AA3320"/>
    <w:rsid w:val="00AA3884"/>
    <w:rsid w:val="00AA5EB3"/>
    <w:rsid w:val="00AA69E3"/>
    <w:rsid w:val="00AA6DAF"/>
    <w:rsid w:val="00AA78A9"/>
    <w:rsid w:val="00AB32AE"/>
    <w:rsid w:val="00AC12D4"/>
    <w:rsid w:val="00AC7ADA"/>
    <w:rsid w:val="00AD4033"/>
    <w:rsid w:val="00AF29D8"/>
    <w:rsid w:val="00B029FE"/>
    <w:rsid w:val="00B05A0C"/>
    <w:rsid w:val="00B10684"/>
    <w:rsid w:val="00B116C3"/>
    <w:rsid w:val="00B13CE5"/>
    <w:rsid w:val="00B261A6"/>
    <w:rsid w:val="00B266A6"/>
    <w:rsid w:val="00B2696A"/>
    <w:rsid w:val="00B319B5"/>
    <w:rsid w:val="00B3469C"/>
    <w:rsid w:val="00B35BA1"/>
    <w:rsid w:val="00B3664A"/>
    <w:rsid w:val="00B3799A"/>
    <w:rsid w:val="00B40134"/>
    <w:rsid w:val="00B517CC"/>
    <w:rsid w:val="00B55B65"/>
    <w:rsid w:val="00B572D1"/>
    <w:rsid w:val="00B61BA6"/>
    <w:rsid w:val="00B63F94"/>
    <w:rsid w:val="00B64B37"/>
    <w:rsid w:val="00B6569A"/>
    <w:rsid w:val="00B66020"/>
    <w:rsid w:val="00B728B3"/>
    <w:rsid w:val="00B74097"/>
    <w:rsid w:val="00B76F8E"/>
    <w:rsid w:val="00B8322D"/>
    <w:rsid w:val="00B85323"/>
    <w:rsid w:val="00B86943"/>
    <w:rsid w:val="00B86F4F"/>
    <w:rsid w:val="00B90730"/>
    <w:rsid w:val="00B95DF9"/>
    <w:rsid w:val="00BA1E41"/>
    <w:rsid w:val="00BB408D"/>
    <w:rsid w:val="00BC1BE8"/>
    <w:rsid w:val="00BC26D0"/>
    <w:rsid w:val="00BE0B33"/>
    <w:rsid w:val="00BF1DC3"/>
    <w:rsid w:val="00BF5C9E"/>
    <w:rsid w:val="00BF66AF"/>
    <w:rsid w:val="00C02FB3"/>
    <w:rsid w:val="00C04ED7"/>
    <w:rsid w:val="00C12FB8"/>
    <w:rsid w:val="00C13AC0"/>
    <w:rsid w:val="00C14A7D"/>
    <w:rsid w:val="00C158B4"/>
    <w:rsid w:val="00C16B7A"/>
    <w:rsid w:val="00C16DF3"/>
    <w:rsid w:val="00C24304"/>
    <w:rsid w:val="00C40F15"/>
    <w:rsid w:val="00C511D0"/>
    <w:rsid w:val="00C61B2F"/>
    <w:rsid w:val="00C73E33"/>
    <w:rsid w:val="00C80F23"/>
    <w:rsid w:val="00C80F37"/>
    <w:rsid w:val="00C91C44"/>
    <w:rsid w:val="00C9393D"/>
    <w:rsid w:val="00CA1D97"/>
    <w:rsid w:val="00CA403D"/>
    <w:rsid w:val="00CB00F2"/>
    <w:rsid w:val="00CB029F"/>
    <w:rsid w:val="00CB1FE2"/>
    <w:rsid w:val="00CB3080"/>
    <w:rsid w:val="00CB396B"/>
    <w:rsid w:val="00CD04C0"/>
    <w:rsid w:val="00CD2651"/>
    <w:rsid w:val="00CE0F5C"/>
    <w:rsid w:val="00CE4328"/>
    <w:rsid w:val="00CE463D"/>
    <w:rsid w:val="00CF28BC"/>
    <w:rsid w:val="00CF54E8"/>
    <w:rsid w:val="00D00066"/>
    <w:rsid w:val="00D007EC"/>
    <w:rsid w:val="00D067FD"/>
    <w:rsid w:val="00D12348"/>
    <w:rsid w:val="00D17AED"/>
    <w:rsid w:val="00D17DBE"/>
    <w:rsid w:val="00D27355"/>
    <w:rsid w:val="00D27377"/>
    <w:rsid w:val="00D34DFB"/>
    <w:rsid w:val="00D3500B"/>
    <w:rsid w:val="00D3559E"/>
    <w:rsid w:val="00D35805"/>
    <w:rsid w:val="00D4157E"/>
    <w:rsid w:val="00D541F0"/>
    <w:rsid w:val="00D651EC"/>
    <w:rsid w:val="00D67185"/>
    <w:rsid w:val="00D72480"/>
    <w:rsid w:val="00D74B61"/>
    <w:rsid w:val="00D759B4"/>
    <w:rsid w:val="00D80035"/>
    <w:rsid w:val="00D94D5E"/>
    <w:rsid w:val="00D95320"/>
    <w:rsid w:val="00D960EC"/>
    <w:rsid w:val="00D96181"/>
    <w:rsid w:val="00DA4BC9"/>
    <w:rsid w:val="00DA4F37"/>
    <w:rsid w:val="00DA59AF"/>
    <w:rsid w:val="00DB7217"/>
    <w:rsid w:val="00DC610A"/>
    <w:rsid w:val="00DD1CAE"/>
    <w:rsid w:val="00DD2F96"/>
    <w:rsid w:val="00DD36E0"/>
    <w:rsid w:val="00DE358A"/>
    <w:rsid w:val="00DE4A26"/>
    <w:rsid w:val="00DE5374"/>
    <w:rsid w:val="00DE60D4"/>
    <w:rsid w:val="00DE6F8F"/>
    <w:rsid w:val="00DE776E"/>
    <w:rsid w:val="00DF470C"/>
    <w:rsid w:val="00DF705F"/>
    <w:rsid w:val="00E05840"/>
    <w:rsid w:val="00E070C5"/>
    <w:rsid w:val="00E12249"/>
    <w:rsid w:val="00E1626F"/>
    <w:rsid w:val="00E17072"/>
    <w:rsid w:val="00E27C65"/>
    <w:rsid w:val="00E3230F"/>
    <w:rsid w:val="00E37E11"/>
    <w:rsid w:val="00E44302"/>
    <w:rsid w:val="00E53E22"/>
    <w:rsid w:val="00E571FC"/>
    <w:rsid w:val="00E57214"/>
    <w:rsid w:val="00E6066D"/>
    <w:rsid w:val="00E61D66"/>
    <w:rsid w:val="00E6389D"/>
    <w:rsid w:val="00E65AA1"/>
    <w:rsid w:val="00E70AF0"/>
    <w:rsid w:val="00E74A6C"/>
    <w:rsid w:val="00E8257A"/>
    <w:rsid w:val="00E8308A"/>
    <w:rsid w:val="00E830DA"/>
    <w:rsid w:val="00E85CCB"/>
    <w:rsid w:val="00E85D6D"/>
    <w:rsid w:val="00E90689"/>
    <w:rsid w:val="00E90800"/>
    <w:rsid w:val="00E9390A"/>
    <w:rsid w:val="00EA22A5"/>
    <w:rsid w:val="00EA2F3E"/>
    <w:rsid w:val="00EA6DB5"/>
    <w:rsid w:val="00EB00E2"/>
    <w:rsid w:val="00EC6C73"/>
    <w:rsid w:val="00EC79C7"/>
    <w:rsid w:val="00ED0EFE"/>
    <w:rsid w:val="00ED1BD7"/>
    <w:rsid w:val="00ED439F"/>
    <w:rsid w:val="00EE1B87"/>
    <w:rsid w:val="00EE1D9D"/>
    <w:rsid w:val="00EE7018"/>
    <w:rsid w:val="00EF3A37"/>
    <w:rsid w:val="00EF657D"/>
    <w:rsid w:val="00F04D28"/>
    <w:rsid w:val="00F34CCD"/>
    <w:rsid w:val="00F35E04"/>
    <w:rsid w:val="00F42652"/>
    <w:rsid w:val="00F4298A"/>
    <w:rsid w:val="00F42D0D"/>
    <w:rsid w:val="00F528BE"/>
    <w:rsid w:val="00F612E1"/>
    <w:rsid w:val="00F667AA"/>
    <w:rsid w:val="00F66F6B"/>
    <w:rsid w:val="00F71876"/>
    <w:rsid w:val="00F76E65"/>
    <w:rsid w:val="00F801CF"/>
    <w:rsid w:val="00F8092E"/>
    <w:rsid w:val="00F83F05"/>
    <w:rsid w:val="00F87FF9"/>
    <w:rsid w:val="00F95230"/>
    <w:rsid w:val="00F963FC"/>
    <w:rsid w:val="00FA30D7"/>
    <w:rsid w:val="00FA4EBC"/>
    <w:rsid w:val="00FA5B1A"/>
    <w:rsid w:val="00FC13EC"/>
    <w:rsid w:val="00FC5149"/>
    <w:rsid w:val="00FC56B4"/>
    <w:rsid w:val="00FE668F"/>
    <w:rsid w:val="00FF0318"/>
    <w:rsid w:val="00FF4E9E"/>
    <w:rsid w:val="00FF5125"/>
    <w:rsid w:val="00FF65F6"/>
    <w:rsid w:val="00FF6D6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9ECF"/>
  <w15:docId w15:val="{0E1040E1-0F54-45A3-9CFF-20D67376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AF"/>
    <w:rPr>
      <w:lang w:val="en-GB"/>
    </w:rPr>
  </w:style>
  <w:style w:type="paragraph" w:styleId="Heading2">
    <w:name w:val="heading 2"/>
    <w:basedOn w:val="Normal"/>
    <w:next w:val="Normal"/>
    <w:link w:val="Heading2Char"/>
    <w:uiPriority w:val="1"/>
    <w:qFormat/>
    <w:rsid w:val="00D960EC"/>
    <w:pPr>
      <w:widowControl w:val="0"/>
      <w:autoSpaceDE w:val="0"/>
      <w:autoSpaceDN w:val="0"/>
      <w:adjustRightInd w:val="0"/>
      <w:ind w:left="169"/>
      <w:outlineLvl w:val="1"/>
    </w:pPr>
    <w:rPr>
      <w:rFonts w:ascii="Arial" w:eastAsiaTheme="minorEastAsia" w:hAnsi="Arial" w:cs="Arial"/>
      <w:b/>
      <w:bCs/>
      <w:sz w:val="20"/>
      <w:szCs w:val="2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934"/>
    <w:pPr>
      <w:spacing w:before="100" w:beforeAutospacing="1" w:after="100" w:afterAutospacing="1"/>
    </w:pPr>
    <w:rPr>
      <w:rFonts w:ascii="Times New Roman" w:eastAsia="Times New Roman" w:hAnsi="Times New Roman" w:cs="Times New Roman"/>
      <w:lang w:val="en-AU" w:eastAsia="en-GB"/>
    </w:rPr>
  </w:style>
  <w:style w:type="paragraph" w:styleId="ListParagraph">
    <w:name w:val="List Paragraph"/>
    <w:basedOn w:val="Normal"/>
    <w:uiPriority w:val="29"/>
    <w:qFormat/>
    <w:rsid w:val="00FA4EBC"/>
    <w:pPr>
      <w:ind w:left="720"/>
      <w:contextualSpacing/>
    </w:pPr>
  </w:style>
  <w:style w:type="paragraph" w:styleId="BalloonText">
    <w:name w:val="Balloon Text"/>
    <w:basedOn w:val="Normal"/>
    <w:link w:val="BalloonTextChar"/>
    <w:uiPriority w:val="99"/>
    <w:semiHidden/>
    <w:unhideWhenUsed/>
    <w:rsid w:val="00D00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66"/>
    <w:rPr>
      <w:rFonts w:ascii="Segoe UI" w:hAnsi="Segoe UI" w:cs="Segoe UI"/>
      <w:sz w:val="18"/>
      <w:szCs w:val="18"/>
      <w:lang w:val="en-GB"/>
    </w:rPr>
  </w:style>
  <w:style w:type="paragraph" w:styleId="Revision">
    <w:name w:val="Revision"/>
    <w:hidden/>
    <w:uiPriority w:val="99"/>
    <w:semiHidden/>
    <w:rsid w:val="00304F76"/>
    <w:rPr>
      <w:lang w:val="en-GB"/>
    </w:rPr>
  </w:style>
  <w:style w:type="paragraph" w:styleId="Header">
    <w:name w:val="header"/>
    <w:basedOn w:val="Normal"/>
    <w:link w:val="HeaderChar"/>
    <w:uiPriority w:val="99"/>
    <w:unhideWhenUsed/>
    <w:rsid w:val="007C5C58"/>
    <w:pPr>
      <w:tabs>
        <w:tab w:val="center" w:pos="4513"/>
        <w:tab w:val="right" w:pos="9026"/>
      </w:tabs>
    </w:pPr>
  </w:style>
  <w:style w:type="character" w:customStyle="1" w:styleId="HeaderChar">
    <w:name w:val="Header Char"/>
    <w:basedOn w:val="DefaultParagraphFont"/>
    <w:link w:val="Header"/>
    <w:uiPriority w:val="99"/>
    <w:rsid w:val="007C5C58"/>
    <w:rPr>
      <w:lang w:val="en-GB"/>
    </w:rPr>
  </w:style>
  <w:style w:type="paragraph" w:styleId="Footer">
    <w:name w:val="footer"/>
    <w:basedOn w:val="Normal"/>
    <w:link w:val="FooterChar"/>
    <w:uiPriority w:val="99"/>
    <w:unhideWhenUsed/>
    <w:rsid w:val="007C5C58"/>
    <w:pPr>
      <w:tabs>
        <w:tab w:val="center" w:pos="4513"/>
        <w:tab w:val="right" w:pos="9026"/>
      </w:tabs>
    </w:pPr>
  </w:style>
  <w:style w:type="character" w:customStyle="1" w:styleId="FooterChar">
    <w:name w:val="Footer Char"/>
    <w:basedOn w:val="DefaultParagraphFont"/>
    <w:link w:val="Footer"/>
    <w:uiPriority w:val="99"/>
    <w:rsid w:val="007C5C58"/>
    <w:rPr>
      <w:lang w:val="en-GB"/>
    </w:rPr>
  </w:style>
  <w:style w:type="character" w:styleId="PlaceholderText">
    <w:name w:val="Placeholder Text"/>
    <w:basedOn w:val="DefaultParagraphFont"/>
    <w:uiPriority w:val="99"/>
    <w:semiHidden/>
    <w:rsid w:val="00176F3C"/>
    <w:rPr>
      <w:color w:val="808080"/>
    </w:rPr>
  </w:style>
  <w:style w:type="character" w:styleId="Hyperlink">
    <w:name w:val="Hyperlink"/>
    <w:basedOn w:val="DefaultParagraphFont"/>
    <w:uiPriority w:val="99"/>
    <w:unhideWhenUsed/>
    <w:rsid w:val="00DF705F"/>
    <w:rPr>
      <w:color w:val="0563C1" w:themeColor="hyperlink"/>
      <w:u w:val="single"/>
    </w:rPr>
  </w:style>
  <w:style w:type="character" w:styleId="CommentReference">
    <w:name w:val="annotation reference"/>
    <w:basedOn w:val="DefaultParagraphFont"/>
    <w:uiPriority w:val="99"/>
    <w:semiHidden/>
    <w:unhideWhenUsed/>
    <w:rsid w:val="00E37E11"/>
    <w:rPr>
      <w:sz w:val="16"/>
      <w:szCs w:val="16"/>
    </w:rPr>
  </w:style>
  <w:style w:type="paragraph" w:styleId="CommentText">
    <w:name w:val="annotation text"/>
    <w:basedOn w:val="Normal"/>
    <w:link w:val="CommentTextChar"/>
    <w:uiPriority w:val="99"/>
    <w:unhideWhenUsed/>
    <w:rsid w:val="00E37E11"/>
    <w:rPr>
      <w:sz w:val="20"/>
      <w:szCs w:val="20"/>
    </w:rPr>
  </w:style>
  <w:style w:type="character" w:customStyle="1" w:styleId="CommentTextChar">
    <w:name w:val="Comment Text Char"/>
    <w:basedOn w:val="DefaultParagraphFont"/>
    <w:link w:val="CommentText"/>
    <w:uiPriority w:val="99"/>
    <w:rsid w:val="00E37E11"/>
    <w:rPr>
      <w:sz w:val="20"/>
      <w:szCs w:val="20"/>
      <w:lang w:val="en-GB"/>
    </w:rPr>
  </w:style>
  <w:style w:type="paragraph" w:styleId="CommentSubject">
    <w:name w:val="annotation subject"/>
    <w:basedOn w:val="CommentText"/>
    <w:next w:val="CommentText"/>
    <w:link w:val="CommentSubjectChar"/>
    <w:uiPriority w:val="99"/>
    <w:semiHidden/>
    <w:unhideWhenUsed/>
    <w:rsid w:val="00E37E11"/>
    <w:rPr>
      <w:b/>
      <w:bCs/>
    </w:rPr>
  </w:style>
  <w:style w:type="character" w:customStyle="1" w:styleId="CommentSubjectChar">
    <w:name w:val="Comment Subject Char"/>
    <w:basedOn w:val="CommentTextChar"/>
    <w:link w:val="CommentSubject"/>
    <w:uiPriority w:val="99"/>
    <w:semiHidden/>
    <w:rsid w:val="00E37E11"/>
    <w:rPr>
      <w:b/>
      <w:bCs/>
      <w:sz w:val="20"/>
      <w:szCs w:val="20"/>
      <w:lang w:val="en-GB"/>
    </w:rPr>
  </w:style>
  <w:style w:type="paragraph" w:customStyle="1" w:styleId="fx">
    <w:name w:val="fx"/>
    <w:basedOn w:val="Normal"/>
    <w:rsid w:val="00682381"/>
    <w:pPr>
      <w:spacing w:before="100" w:beforeAutospacing="1" w:after="100" w:afterAutospacing="1"/>
    </w:pPr>
    <w:rPr>
      <w:rFonts w:ascii="Times New Roman" w:eastAsia="Times New Roman" w:hAnsi="Times New Roman" w:cs="Times New Roman"/>
      <w:lang w:eastAsia="en-GB"/>
    </w:rPr>
  </w:style>
  <w:style w:type="character" w:customStyle="1" w:styleId="fv">
    <w:name w:val="fv"/>
    <w:basedOn w:val="DefaultParagraphFont"/>
    <w:rsid w:val="00682381"/>
  </w:style>
  <w:style w:type="paragraph" w:customStyle="1" w:styleId="dx">
    <w:name w:val="dx"/>
    <w:basedOn w:val="Normal"/>
    <w:rsid w:val="00195B36"/>
    <w:pPr>
      <w:spacing w:before="100" w:beforeAutospacing="1" w:after="100" w:afterAutospacing="1"/>
    </w:pPr>
    <w:rPr>
      <w:rFonts w:ascii="Times New Roman" w:eastAsia="Times New Roman" w:hAnsi="Times New Roman" w:cs="Times New Roman"/>
      <w:lang w:eastAsia="en-GB"/>
    </w:rPr>
  </w:style>
  <w:style w:type="character" w:customStyle="1" w:styleId="db">
    <w:name w:val="db"/>
    <w:basedOn w:val="DefaultParagraphFont"/>
    <w:rsid w:val="00195B36"/>
  </w:style>
  <w:style w:type="character" w:customStyle="1" w:styleId="cr">
    <w:name w:val="cr"/>
    <w:basedOn w:val="DefaultParagraphFont"/>
    <w:rsid w:val="00195B36"/>
  </w:style>
  <w:style w:type="paragraph" w:customStyle="1" w:styleId="ei">
    <w:name w:val="ei"/>
    <w:basedOn w:val="Normal"/>
    <w:rsid w:val="00195B36"/>
    <w:pPr>
      <w:spacing w:before="100" w:beforeAutospacing="1" w:after="100" w:afterAutospacing="1"/>
    </w:pPr>
    <w:rPr>
      <w:rFonts w:ascii="Times New Roman" w:eastAsia="Times New Roman" w:hAnsi="Times New Roman" w:cs="Times New Roman"/>
      <w:lang w:eastAsia="en-GB"/>
    </w:rPr>
  </w:style>
  <w:style w:type="character" w:customStyle="1" w:styleId="du">
    <w:name w:val="du"/>
    <w:basedOn w:val="DefaultParagraphFont"/>
    <w:rsid w:val="00195B36"/>
  </w:style>
  <w:style w:type="paragraph" w:customStyle="1" w:styleId="cf">
    <w:name w:val="cf"/>
    <w:basedOn w:val="Normal"/>
    <w:rsid w:val="005808AC"/>
    <w:pPr>
      <w:spacing w:before="100" w:beforeAutospacing="1" w:after="100" w:afterAutospacing="1"/>
    </w:pPr>
    <w:rPr>
      <w:rFonts w:ascii="Times New Roman" w:eastAsia="Times New Roman" w:hAnsi="Times New Roman" w:cs="Times New Roman"/>
      <w:lang w:eastAsia="en-GB"/>
    </w:rPr>
  </w:style>
  <w:style w:type="character" w:customStyle="1" w:styleId="bp">
    <w:name w:val="bp"/>
    <w:basedOn w:val="DefaultParagraphFont"/>
    <w:rsid w:val="005808AC"/>
  </w:style>
  <w:style w:type="paragraph" w:customStyle="1" w:styleId="cg">
    <w:name w:val="cg"/>
    <w:basedOn w:val="Normal"/>
    <w:rsid w:val="005808AC"/>
    <w:pPr>
      <w:spacing w:before="100" w:beforeAutospacing="1" w:after="100" w:afterAutospacing="1"/>
    </w:pPr>
    <w:rPr>
      <w:rFonts w:ascii="Times New Roman" w:eastAsia="Times New Roman" w:hAnsi="Times New Roman" w:cs="Times New Roman"/>
      <w:lang w:eastAsia="en-GB"/>
    </w:rPr>
  </w:style>
  <w:style w:type="character" w:customStyle="1" w:styleId="bq">
    <w:name w:val="bq"/>
    <w:basedOn w:val="DefaultParagraphFont"/>
    <w:rsid w:val="005808AC"/>
  </w:style>
  <w:style w:type="character" w:customStyle="1" w:styleId="ch">
    <w:name w:val="ch"/>
    <w:basedOn w:val="DefaultParagraphFont"/>
    <w:rsid w:val="005808AC"/>
  </w:style>
  <w:style w:type="character" w:customStyle="1" w:styleId="ci">
    <w:name w:val="ci"/>
    <w:basedOn w:val="DefaultParagraphFont"/>
    <w:rsid w:val="005808AC"/>
  </w:style>
  <w:style w:type="paragraph" w:customStyle="1" w:styleId="eb">
    <w:name w:val="eb"/>
    <w:basedOn w:val="Normal"/>
    <w:rsid w:val="00092D00"/>
    <w:pPr>
      <w:spacing w:before="100" w:beforeAutospacing="1" w:after="100" w:afterAutospacing="1"/>
    </w:pPr>
    <w:rPr>
      <w:rFonts w:ascii="Times New Roman" w:eastAsia="Times New Roman" w:hAnsi="Times New Roman" w:cs="Times New Roman"/>
      <w:lang w:eastAsia="en-GB"/>
    </w:rPr>
  </w:style>
  <w:style w:type="character" w:customStyle="1" w:styleId="ed">
    <w:name w:val="ed"/>
    <w:basedOn w:val="DefaultParagraphFont"/>
    <w:rsid w:val="00092D00"/>
  </w:style>
  <w:style w:type="character" w:customStyle="1" w:styleId="ee">
    <w:name w:val="ee"/>
    <w:basedOn w:val="DefaultParagraphFont"/>
    <w:rsid w:val="00092D00"/>
  </w:style>
  <w:style w:type="character" w:customStyle="1" w:styleId="ef">
    <w:name w:val="ef"/>
    <w:basedOn w:val="DefaultParagraphFont"/>
    <w:rsid w:val="00092D00"/>
  </w:style>
  <w:style w:type="character" w:customStyle="1" w:styleId="eg">
    <w:name w:val="eg"/>
    <w:basedOn w:val="DefaultParagraphFont"/>
    <w:rsid w:val="00092D00"/>
  </w:style>
  <w:style w:type="character" w:customStyle="1" w:styleId="eh">
    <w:name w:val="eh"/>
    <w:basedOn w:val="DefaultParagraphFont"/>
    <w:rsid w:val="00092D00"/>
  </w:style>
  <w:style w:type="paragraph" w:customStyle="1" w:styleId="em">
    <w:name w:val="em"/>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dj">
    <w:name w:val="dj"/>
    <w:basedOn w:val="DefaultParagraphFont"/>
    <w:rsid w:val="001A01EE"/>
  </w:style>
  <w:style w:type="character" w:customStyle="1" w:styleId="dr">
    <w:name w:val="dr"/>
    <w:basedOn w:val="DefaultParagraphFont"/>
    <w:rsid w:val="001A01EE"/>
  </w:style>
  <w:style w:type="paragraph" w:customStyle="1" w:styleId="eo">
    <w:name w:val="eo"/>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dh">
    <w:name w:val="dh"/>
    <w:basedOn w:val="DefaultParagraphFont"/>
    <w:rsid w:val="001A01EE"/>
  </w:style>
  <w:style w:type="paragraph" w:customStyle="1" w:styleId="ep">
    <w:name w:val="ep"/>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de">
    <w:name w:val="de"/>
    <w:basedOn w:val="DefaultParagraphFont"/>
    <w:rsid w:val="001A01EE"/>
  </w:style>
  <w:style w:type="paragraph" w:customStyle="1" w:styleId="eq">
    <w:name w:val="eq"/>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cy">
    <w:name w:val="cy"/>
    <w:basedOn w:val="DefaultParagraphFont"/>
    <w:rsid w:val="001A01EE"/>
  </w:style>
  <w:style w:type="paragraph" w:customStyle="1" w:styleId="er">
    <w:name w:val="er"/>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s">
    <w:name w:val="es"/>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t">
    <w:name w:val="et"/>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u">
    <w:name w:val="eu"/>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v">
    <w:name w:val="ev"/>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co">
    <w:name w:val="co"/>
    <w:basedOn w:val="DefaultParagraphFont"/>
    <w:rsid w:val="001A01EE"/>
  </w:style>
  <w:style w:type="paragraph" w:customStyle="1" w:styleId="ex">
    <w:name w:val="ex"/>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y">
    <w:name w:val="ey"/>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z">
    <w:name w:val="ez"/>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fa">
    <w:name w:val="fa"/>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fc">
    <w:name w:val="fc"/>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as">
    <w:name w:val="as"/>
    <w:basedOn w:val="Normal"/>
    <w:rsid w:val="005A113F"/>
    <w:pPr>
      <w:spacing w:before="100" w:beforeAutospacing="1" w:after="100" w:afterAutospacing="1"/>
    </w:pPr>
    <w:rPr>
      <w:rFonts w:ascii="Times New Roman" w:eastAsia="Times New Roman" w:hAnsi="Times New Roman" w:cs="Times New Roman"/>
      <w:lang w:eastAsia="en-GB"/>
    </w:rPr>
  </w:style>
  <w:style w:type="character" w:customStyle="1" w:styleId="aa">
    <w:name w:val="aa"/>
    <w:basedOn w:val="DefaultParagraphFont"/>
    <w:rsid w:val="005A113F"/>
  </w:style>
  <w:style w:type="character" w:customStyle="1" w:styleId="dg">
    <w:name w:val="dg"/>
    <w:basedOn w:val="DefaultParagraphFont"/>
    <w:rsid w:val="00700CE4"/>
  </w:style>
  <w:style w:type="character" w:customStyle="1" w:styleId="di">
    <w:name w:val="di"/>
    <w:basedOn w:val="DefaultParagraphFont"/>
    <w:rsid w:val="00700CE4"/>
  </w:style>
  <w:style w:type="paragraph" w:customStyle="1" w:styleId="dy">
    <w:name w:val="dy"/>
    <w:basedOn w:val="Normal"/>
    <w:rsid w:val="00700CE4"/>
    <w:pPr>
      <w:spacing w:before="100" w:beforeAutospacing="1" w:after="100" w:afterAutospacing="1"/>
    </w:pPr>
    <w:rPr>
      <w:rFonts w:ascii="Times New Roman" w:eastAsia="Times New Roman" w:hAnsi="Times New Roman" w:cs="Times New Roman"/>
      <w:lang w:eastAsia="en-GB"/>
    </w:rPr>
  </w:style>
  <w:style w:type="paragraph" w:customStyle="1" w:styleId="dz">
    <w:name w:val="dz"/>
    <w:basedOn w:val="Normal"/>
    <w:rsid w:val="00700CE4"/>
    <w:pPr>
      <w:spacing w:before="100" w:beforeAutospacing="1" w:after="100" w:afterAutospacing="1"/>
    </w:pPr>
    <w:rPr>
      <w:rFonts w:ascii="Times New Roman" w:eastAsia="Times New Roman" w:hAnsi="Times New Roman" w:cs="Times New Roman"/>
      <w:lang w:eastAsia="en-GB"/>
    </w:rPr>
  </w:style>
  <w:style w:type="paragraph" w:customStyle="1" w:styleId="dv">
    <w:name w:val="dv"/>
    <w:basedOn w:val="Normal"/>
    <w:rsid w:val="00700CE4"/>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74582D"/>
    <w:pPr>
      <w:widowControl w:val="0"/>
      <w:autoSpaceDE w:val="0"/>
      <w:autoSpaceDN w:val="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74582D"/>
    <w:rPr>
      <w:rFonts w:ascii="Arial" w:eastAsia="Arial" w:hAnsi="Arial" w:cs="Arial"/>
      <w:sz w:val="20"/>
      <w:szCs w:val="20"/>
      <w:lang w:val="en-US"/>
    </w:rPr>
  </w:style>
  <w:style w:type="paragraph" w:customStyle="1" w:styleId="TableParagraph">
    <w:name w:val="Table Paragraph"/>
    <w:basedOn w:val="Normal"/>
    <w:uiPriority w:val="1"/>
    <w:qFormat/>
    <w:rsid w:val="0074582D"/>
    <w:pPr>
      <w:widowControl w:val="0"/>
      <w:autoSpaceDE w:val="0"/>
      <w:autoSpaceDN w:val="0"/>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455DA9"/>
    <w:rPr>
      <w:color w:val="605E5C"/>
      <w:shd w:val="clear" w:color="auto" w:fill="E1DFDD"/>
    </w:rPr>
  </w:style>
  <w:style w:type="table" w:styleId="TableGrid">
    <w:name w:val="Table Grid"/>
    <w:basedOn w:val="TableNormal"/>
    <w:uiPriority w:val="39"/>
    <w:rsid w:val="00B13CE5"/>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D960EC"/>
    <w:rPr>
      <w:rFonts w:ascii="Arial" w:eastAsiaTheme="minorEastAsia" w:hAnsi="Arial" w:cs="Arial"/>
      <w:b/>
      <w:bCs/>
      <w:sz w:val="20"/>
      <w:szCs w:val="20"/>
      <w:lang w:val="en-GB" w:eastAsia="en-GB"/>
      <w14:ligatures w14:val="standardContextual"/>
    </w:rPr>
  </w:style>
  <w:style w:type="table" w:customStyle="1" w:styleId="TableGrid1">
    <w:name w:val="Table Grid1"/>
    <w:basedOn w:val="TableNormal"/>
    <w:next w:val="TableGrid"/>
    <w:uiPriority w:val="39"/>
    <w:rsid w:val="00B3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8397">
      <w:bodyDiv w:val="1"/>
      <w:marLeft w:val="0"/>
      <w:marRight w:val="0"/>
      <w:marTop w:val="0"/>
      <w:marBottom w:val="0"/>
      <w:divBdr>
        <w:top w:val="none" w:sz="0" w:space="0" w:color="auto"/>
        <w:left w:val="none" w:sz="0" w:space="0" w:color="auto"/>
        <w:bottom w:val="none" w:sz="0" w:space="0" w:color="auto"/>
        <w:right w:val="none" w:sz="0" w:space="0" w:color="auto"/>
      </w:divBdr>
    </w:div>
    <w:div w:id="140078558">
      <w:bodyDiv w:val="1"/>
      <w:marLeft w:val="0"/>
      <w:marRight w:val="0"/>
      <w:marTop w:val="0"/>
      <w:marBottom w:val="0"/>
      <w:divBdr>
        <w:top w:val="none" w:sz="0" w:space="0" w:color="auto"/>
        <w:left w:val="none" w:sz="0" w:space="0" w:color="auto"/>
        <w:bottom w:val="none" w:sz="0" w:space="0" w:color="auto"/>
        <w:right w:val="none" w:sz="0" w:space="0" w:color="auto"/>
      </w:divBdr>
    </w:div>
    <w:div w:id="207453822">
      <w:bodyDiv w:val="1"/>
      <w:marLeft w:val="0"/>
      <w:marRight w:val="0"/>
      <w:marTop w:val="0"/>
      <w:marBottom w:val="0"/>
      <w:divBdr>
        <w:top w:val="none" w:sz="0" w:space="0" w:color="auto"/>
        <w:left w:val="none" w:sz="0" w:space="0" w:color="auto"/>
        <w:bottom w:val="none" w:sz="0" w:space="0" w:color="auto"/>
        <w:right w:val="none" w:sz="0" w:space="0" w:color="auto"/>
      </w:divBdr>
      <w:divsChild>
        <w:div w:id="4868778">
          <w:marLeft w:val="0"/>
          <w:marRight w:val="0"/>
          <w:marTop w:val="0"/>
          <w:marBottom w:val="0"/>
          <w:divBdr>
            <w:top w:val="none" w:sz="0" w:space="0" w:color="auto"/>
            <w:left w:val="none" w:sz="0" w:space="0" w:color="auto"/>
            <w:bottom w:val="none" w:sz="0" w:space="0" w:color="auto"/>
            <w:right w:val="none" w:sz="0" w:space="0" w:color="auto"/>
          </w:divBdr>
          <w:divsChild>
            <w:div w:id="112986099">
              <w:marLeft w:val="0"/>
              <w:marRight w:val="0"/>
              <w:marTop w:val="0"/>
              <w:marBottom w:val="0"/>
              <w:divBdr>
                <w:top w:val="none" w:sz="0" w:space="0" w:color="auto"/>
                <w:left w:val="none" w:sz="0" w:space="0" w:color="auto"/>
                <w:bottom w:val="none" w:sz="0" w:space="0" w:color="auto"/>
                <w:right w:val="none" w:sz="0" w:space="0" w:color="auto"/>
              </w:divBdr>
              <w:divsChild>
                <w:div w:id="1876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6587">
          <w:marLeft w:val="0"/>
          <w:marRight w:val="0"/>
          <w:marTop w:val="0"/>
          <w:marBottom w:val="0"/>
          <w:divBdr>
            <w:top w:val="none" w:sz="0" w:space="0" w:color="auto"/>
            <w:left w:val="none" w:sz="0" w:space="0" w:color="auto"/>
            <w:bottom w:val="none" w:sz="0" w:space="0" w:color="auto"/>
            <w:right w:val="none" w:sz="0" w:space="0" w:color="auto"/>
          </w:divBdr>
          <w:divsChild>
            <w:div w:id="1465081041">
              <w:marLeft w:val="0"/>
              <w:marRight w:val="0"/>
              <w:marTop w:val="0"/>
              <w:marBottom w:val="0"/>
              <w:divBdr>
                <w:top w:val="none" w:sz="0" w:space="0" w:color="auto"/>
                <w:left w:val="none" w:sz="0" w:space="0" w:color="auto"/>
                <w:bottom w:val="none" w:sz="0" w:space="0" w:color="auto"/>
                <w:right w:val="none" w:sz="0" w:space="0" w:color="auto"/>
              </w:divBdr>
              <w:divsChild>
                <w:div w:id="2485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6311">
      <w:bodyDiv w:val="1"/>
      <w:marLeft w:val="0"/>
      <w:marRight w:val="0"/>
      <w:marTop w:val="0"/>
      <w:marBottom w:val="0"/>
      <w:divBdr>
        <w:top w:val="none" w:sz="0" w:space="0" w:color="auto"/>
        <w:left w:val="none" w:sz="0" w:space="0" w:color="auto"/>
        <w:bottom w:val="none" w:sz="0" w:space="0" w:color="auto"/>
        <w:right w:val="none" w:sz="0" w:space="0" w:color="auto"/>
      </w:divBdr>
    </w:div>
    <w:div w:id="424692840">
      <w:bodyDiv w:val="1"/>
      <w:marLeft w:val="0"/>
      <w:marRight w:val="0"/>
      <w:marTop w:val="0"/>
      <w:marBottom w:val="0"/>
      <w:divBdr>
        <w:top w:val="none" w:sz="0" w:space="0" w:color="auto"/>
        <w:left w:val="none" w:sz="0" w:space="0" w:color="auto"/>
        <w:bottom w:val="none" w:sz="0" w:space="0" w:color="auto"/>
        <w:right w:val="none" w:sz="0" w:space="0" w:color="auto"/>
      </w:divBdr>
    </w:div>
    <w:div w:id="618100516">
      <w:bodyDiv w:val="1"/>
      <w:marLeft w:val="0"/>
      <w:marRight w:val="0"/>
      <w:marTop w:val="0"/>
      <w:marBottom w:val="0"/>
      <w:divBdr>
        <w:top w:val="none" w:sz="0" w:space="0" w:color="auto"/>
        <w:left w:val="none" w:sz="0" w:space="0" w:color="auto"/>
        <w:bottom w:val="none" w:sz="0" w:space="0" w:color="auto"/>
        <w:right w:val="none" w:sz="0" w:space="0" w:color="auto"/>
      </w:divBdr>
    </w:div>
    <w:div w:id="639500818">
      <w:bodyDiv w:val="1"/>
      <w:marLeft w:val="0"/>
      <w:marRight w:val="0"/>
      <w:marTop w:val="0"/>
      <w:marBottom w:val="0"/>
      <w:divBdr>
        <w:top w:val="none" w:sz="0" w:space="0" w:color="auto"/>
        <w:left w:val="none" w:sz="0" w:space="0" w:color="auto"/>
        <w:bottom w:val="none" w:sz="0" w:space="0" w:color="auto"/>
        <w:right w:val="none" w:sz="0" w:space="0" w:color="auto"/>
      </w:divBdr>
    </w:div>
    <w:div w:id="758677497">
      <w:bodyDiv w:val="1"/>
      <w:marLeft w:val="0"/>
      <w:marRight w:val="0"/>
      <w:marTop w:val="0"/>
      <w:marBottom w:val="0"/>
      <w:divBdr>
        <w:top w:val="none" w:sz="0" w:space="0" w:color="auto"/>
        <w:left w:val="none" w:sz="0" w:space="0" w:color="auto"/>
        <w:bottom w:val="none" w:sz="0" w:space="0" w:color="auto"/>
        <w:right w:val="none" w:sz="0" w:space="0" w:color="auto"/>
      </w:divBdr>
    </w:div>
    <w:div w:id="810441623">
      <w:bodyDiv w:val="1"/>
      <w:marLeft w:val="0"/>
      <w:marRight w:val="0"/>
      <w:marTop w:val="0"/>
      <w:marBottom w:val="0"/>
      <w:divBdr>
        <w:top w:val="none" w:sz="0" w:space="0" w:color="auto"/>
        <w:left w:val="none" w:sz="0" w:space="0" w:color="auto"/>
        <w:bottom w:val="none" w:sz="0" w:space="0" w:color="auto"/>
        <w:right w:val="none" w:sz="0" w:space="0" w:color="auto"/>
      </w:divBdr>
    </w:div>
    <w:div w:id="819032798">
      <w:bodyDiv w:val="1"/>
      <w:marLeft w:val="0"/>
      <w:marRight w:val="0"/>
      <w:marTop w:val="0"/>
      <w:marBottom w:val="0"/>
      <w:divBdr>
        <w:top w:val="none" w:sz="0" w:space="0" w:color="auto"/>
        <w:left w:val="none" w:sz="0" w:space="0" w:color="auto"/>
        <w:bottom w:val="none" w:sz="0" w:space="0" w:color="auto"/>
        <w:right w:val="none" w:sz="0" w:space="0" w:color="auto"/>
      </w:divBdr>
    </w:div>
    <w:div w:id="869729003">
      <w:bodyDiv w:val="1"/>
      <w:marLeft w:val="0"/>
      <w:marRight w:val="0"/>
      <w:marTop w:val="0"/>
      <w:marBottom w:val="0"/>
      <w:divBdr>
        <w:top w:val="none" w:sz="0" w:space="0" w:color="auto"/>
        <w:left w:val="none" w:sz="0" w:space="0" w:color="auto"/>
        <w:bottom w:val="none" w:sz="0" w:space="0" w:color="auto"/>
        <w:right w:val="none" w:sz="0" w:space="0" w:color="auto"/>
      </w:divBdr>
      <w:divsChild>
        <w:div w:id="591083318">
          <w:marLeft w:val="0"/>
          <w:marRight w:val="0"/>
          <w:marTop w:val="0"/>
          <w:marBottom w:val="0"/>
          <w:divBdr>
            <w:top w:val="none" w:sz="0" w:space="0" w:color="auto"/>
            <w:left w:val="none" w:sz="0" w:space="0" w:color="auto"/>
            <w:bottom w:val="none" w:sz="0" w:space="0" w:color="auto"/>
            <w:right w:val="none" w:sz="0" w:space="0" w:color="auto"/>
          </w:divBdr>
          <w:divsChild>
            <w:div w:id="871378157">
              <w:marLeft w:val="0"/>
              <w:marRight w:val="0"/>
              <w:marTop w:val="0"/>
              <w:marBottom w:val="0"/>
              <w:divBdr>
                <w:top w:val="none" w:sz="0" w:space="0" w:color="auto"/>
                <w:left w:val="none" w:sz="0" w:space="0" w:color="auto"/>
                <w:bottom w:val="none" w:sz="0" w:space="0" w:color="auto"/>
                <w:right w:val="none" w:sz="0" w:space="0" w:color="auto"/>
              </w:divBdr>
              <w:divsChild>
                <w:div w:id="19721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6659">
      <w:bodyDiv w:val="1"/>
      <w:marLeft w:val="0"/>
      <w:marRight w:val="0"/>
      <w:marTop w:val="0"/>
      <w:marBottom w:val="0"/>
      <w:divBdr>
        <w:top w:val="none" w:sz="0" w:space="0" w:color="auto"/>
        <w:left w:val="none" w:sz="0" w:space="0" w:color="auto"/>
        <w:bottom w:val="none" w:sz="0" w:space="0" w:color="auto"/>
        <w:right w:val="none" w:sz="0" w:space="0" w:color="auto"/>
      </w:divBdr>
    </w:div>
    <w:div w:id="948048242">
      <w:bodyDiv w:val="1"/>
      <w:marLeft w:val="0"/>
      <w:marRight w:val="0"/>
      <w:marTop w:val="0"/>
      <w:marBottom w:val="0"/>
      <w:divBdr>
        <w:top w:val="none" w:sz="0" w:space="0" w:color="auto"/>
        <w:left w:val="none" w:sz="0" w:space="0" w:color="auto"/>
        <w:bottom w:val="none" w:sz="0" w:space="0" w:color="auto"/>
        <w:right w:val="none" w:sz="0" w:space="0" w:color="auto"/>
      </w:divBdr>
    </w:div>
    <w:div w:id="979657003">
      <w:bodyDiv w:val="1"/>
      <w:marLeft w:val="0"/>
      <w:marRight w:val="0"/>
      <w:marTop w:val="0"/>
      <w:marBottom w:val="0"/>
      <w:divBdr>
        <w:top w:val="none" w:sz="0" w:space="0" w:color="auto"/>
        <w:left w:val="none" w:sz="0" w:space="0" w:color="auto"/>
        <w:bottom w:val="none" w:sz="0" w:space="0" w:color="auto"/>
        <w:right w:val="none" w:sz="0" w:space="0" w:color="auto"/>
      </w:divBdr>
    </w:div>
    <w:div w:id="1054816908">
      <w:bodyDiv w:val="1"/>
      <w:marLeft w:val="0"/>
      <w:marRight w:val="0"/>
      <w:marTop w:val="0"/>
      <w:marBottom w:val="0"/>
      <w:divBdr>
        <w:top w:val="none" w:sz="0" w:space="0" w:color="auto"/>
        <w:left w:val="none" w:sz="0" w:space="0" w:color="auto"/>
        <w:bottom w:val="none" w:sz="0" w:space="0" w:color="auto"/>
        <w:right w:val="none" w:sz="0" w:space="0" w:color="auto"/>
      </w:divBdr>
      <w:divsChild>
        <w:div w:id="366026606">
          <w:marLeft w:val="0"/>
          <w:marRight w:val="0"/>
          <w:marTop w:val="0"/>
          <w:marBottom w:val="0"/>
          <w:divBdr>
            <w:top w:val="none" w:sz="0" w:space="0" w:color="auto"/>
            <w:left w:val="none" w:sz="0" w:space="0" w:color="auto"/>
            <w:bottom w:val="none" w:sz="0" w:space="0" w:color="auto"/>
            <w:right w:val="none" w:sz="0" w:space="0" w:color="auto"/>
          </w:divBdr>
          <w:divsChild>
            <w:div w:id="1947034224">
              <w:marLeft w:val="0"/>
              <w:marRight w:val="0"/>
              <w:marTop w:val="0"/>
              <w:marBottom w:val="0"/>
              <w:divBdr>
                <w:top w:val="none" w:sz="0" w:space="0" w:color="auto"/>
                <w:left w:val="none" w:sz="0" w:space="0" w:color="auto"/>
                <w:bottom w:val="none" w:sz="0" w:space="0" w:color="auto"/>
                <w:right w:val="none" w:sz="0" w:space="0" w:color="auto"/>
              </w:divBdr>
              <w:divsChild>
                <w:div w:id="4021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0386">
      <w:bodyDiv w:val="1"/>
      <w:marLeft w:val="0"/>
      <w:marRight w:val="0"/>
      <w:marTop w:val="0"/>
      <w:marBottom w:val="0"/>
      <w:divBdr>
        <w:top w:val="none" w:sz="0" w:space="0" w:color="auto"/>
        <w:left w:val="none" w:sz="0" w:space="0" w:color="auto"/>
        <w:bottom w:val="none" w:sz="0" w:space="0" w:color="auto"/>
        <w:right w:val="none" w:sz="0" w:space="0" w:color="auto"/>
      </w:divBdr>
    </w:div>
    <w:div w:id="1286888201">
      <w:bodyDiv w:val="1"/>
      <w:marLeft w:val="0"/>
      <w:marRight w:val="0"/>
      <w:marTop w:val="0"/>
      <w:marBottom w:val="0"/>
      <w:divBdr>
        <w:top w:val="none" w:sz="0" w:space="0" w:color="auto"/>
        <w:left w:val="none" w:sz="0" w:space="0" w:color="auto"/>
        <w:bottom w:val="none" w:sz="0" w:space="0" w:color="auto"/>
        <w:right w:val="none" w:sz="0" w:space="0" w:color="auto"/>
      </w:divBdr>
    </w:div>
    <w:div w:id="1345015128">
      <w:bodyDiv w:val="1"/>
      <w:marLeft w:val="0"/>
      <w:marRight w:val="0"/>
      <w:marTop w:val="0"/>
      <w:marBottom w:val="0"/>
      <w:divBdr>
        <w:top w:val="none" w:sz="0" w:space="0" w:color="auto"/>
        <w:left w:val="none" w:sz="0" w:space="0" w:color="auto"/>
        <w:bottom w:val="none" w:sz="0" w:space="0" w:color="auto"/>
        <w:right w:val="none" w:sz="0" w:space="0" w:color="auto"/>
      </w:divBdr>
    </w:div>
    <w:div w:id="1421827588">
      <w:bodyDiv w:val="1"/>
      <w:marLeft w:val="0"/>
      <w:marRight w:val="0"/>
      <w:marTop w:val="0"/>
      <w:marBottom w:val="0"/>
      <w:divBdr>
        <w:top w:val="none" w:sz="0" w:space="0" w:color="auto"/>
        <w:left w:val="none" w:sz="0" w:space="0" w:color="auto"/>
        <w:bottom w:val="none" w:sz="0" w:space="0" w:color="auto"/>
        <w:right w:val="none" w:sz="0" w:space="0" w:color="auto"/>
      </w:divBdr>
      <w:divsChild>
        <w:div w:id="1852378265">
          <w:marLeft w:val="0"/>
          <w:marRight w:val="0"/>
          <w:marTop w:val="0"/>
          <w:marBottom w:val="0"/>
          <w:divBdr>
            <w:top w:val="none" w:sz="0" w:space="0" w:color="auto"/>
            <w:left w:val="none" w:sz="0" w:space="0" w:color="auto"/>
            <w:bottom w:val="none" w:sz="0" w:space="0" w:color="auto"/>
            <w:right w:val="none" w:sz="0" w:space="0" w:color="auto"/>
          </w:divBdr>
          <w:divsChild>
            <w:div w:id="2054109588">
              <w:marLeft w:val="0"/>
              <w:marRight w:val="0"/>
              <w:marTop w:val="0"/>
              <w:marBottom w:val="0"/>
              <w:divBdr>
                <w:top w:val="none" w:sz="0" w:space="0" w:color="auto"/>
                <w:left w:val="none" w:sz="0" w:space="0" w:color="auto"/>
                <w:bottom w:val="none" w:sz="0" w:space="0" w:color="auto"/>
                <w:right w:val="none" w:sz="0" w:space="0" w:color="auto"/>
              </w:divBdr>
              <w:divsChild>
                <w:div w:id="625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3757">
      <w:bodyDiv w:val="1"/>
      <w:marLeft w:val="0"/>
      <w:marRight w:val="0"/>
      <w:marTop w:val="0"/>
      <w:marBottom w:val="0"/>
      <w:divBdr>
        <w:top w:val="none" w:sz="0" w:space="0" w:color="auto"/>
        <w:left w:val="none" w:sz="0" w:space="0" w:color="auto"/>
        <w:bottom w:val="none" w:sz="0" w:space="0" w:color="auto"/>
        <w:right w:val="none" w:sz="0" w:space="0" w:color="auto"/>
      </w:divBdr>
    </w:div>
    <w:div w:id="1469663240">
      <w:bodyDiv w:val="1"/>
      <w:marLeft w:val="0"/>
      <w:marRight w:val="0"/>
      <w:marTop w:val="0"/>
      <w:marBottom w:val="0"/>
      <w:divBdr>
        <w:top w:val="none" w:sz="0" w:space="0" w:color="auto"/>
        <w:left w:val="none" w:sz="0" w:space="0" w:color="auto"/>
        <w:bottom w:val="none" w:sz="0" w:space="0" w:color="auto"/>
        <w:right w:val="none" w:sz="0" w:space="0" w:color="auto"/>
      </w:divBdr>
    </w:div>
    <w:div w:id="1493832256">
      <w:bodyDiv w:val="1"/>
      <w:marLeft w:val="0"/>
      <w:marRight w:val="0"/>
      <w:marTop w:val="0"/>
      <w:marBottom w:val="0"/>
      <w:divBdr>
        <w:top w:val="none" w:sz="0" w:space="0" w:color="auto"/>
        <w:left w:val="none" w:sz="0" w:space="0" w:color="auto"/>
        <w:bottom w:val="none" w:sz="0" w:space="0" w:color="auto"/>
        <w:right w:val="none" w:sz="0" w:space="0" w:color="auto"/>
      </w:divBdr>
    </w:div>
    <w:div w:id="1586763194">
      <w:bodyDiv w:val="1"/>
      <w:marLeft w:val="0"/>
      <w:marRight w:val="0"/>
      <w:marTop w:val="0"/>
      <w:marBottom w:val="0"/>
      <w:divBdr>
        <w:top w:val="none" w:sz="0" w:space="0" w:color="auto"/>
        <w:left w:val="none" w:sz="0" w:space="0" w:color="auto"/>
        <w:bottom w:val="none" w:sz="0" w:space="0" w:color="auto"/>
        <w:right w:val="none" w:sz="0" w:space="0" w:color="auto"/>
      </w:divBdr>
    </w:div>
    <w:div w:id="1772894454">
      <w:bodyDiv w:val="1"/>
      <w:marLeft w:val="0"/>
      <w:marRight w:val="0"/>
      <w:marTop w:val="0"/>
      <w:marBottom w:val="0"/>
      <w:divBdr>
        <w:top w:val="none" w:sz="0" w:space="0" w:color="auto"/>
        <w:left w:val="none" w:sz="0" w:space="0" w:color="auto"/>
        <w:bottom w:val="none" w:sz="0" w:space="0" w:color="auto"/>
        <w:right w:val="none" w:sz="0" w:space="0" w:color="auto"/>
      </w:divBdr>
      <w:divsChild>
        <w:div w:id="1619723761">
          <w:marLeft w:val="0"/>
          <w:marRight w:val="0"/>
          <w:marTop w:val="0"/>
          <w:marBottom w:val="0"/>
          <w:divBdr>
            <w:top w:val="none" w:sz="0" w:space="0" w:color="auto"/>
            <w:left w:val="none" w:sz="0" w:space="0" w:color="auto"/>
            <w:bottom w:val="none" w:sz="0" w:space="0" w:color="auto"/>
            <w:right w:val="none" w:sz="0" w:space="0" w:color="auto"/>
          </w:divBdr>
          <w:divsChild>
            <w:div w:id="1272936749">
              <w:marLeft w:val="0"/>
              <w:marRight w:val="0"/>
              <w:marTop w:val="0"/>
              <w:marBottom w:val="0"/>
              <w:divBdr>
                <w:top w:val="none" w:sz="0" w:space="0" w:color="auto"/>
                <w:left w:val="none" w:sz="0" w:space="0" w:color="auto"/>
                <w:bottom w:val="none" w:sz="0" w:space="0" w:color="auto"/>
                <w:right w:val="none" w:sz="0" w:space="0" w:color="auto"/>
              </w:divBdr>
              <w:divsChild>
                <w:div w:id="196773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2473">
      <w:bodyDiv w:val="1"/>
      <w:marLeft w:val="0"/>
      <w:marRight w:val="0"/>
      <w:marTop w:val="0"/>
      <w:marBottom w:val="0"/>
      <w:divBdr>
        <w:top w:val="none" w:sz="0" w:space="0" w:color="auto"/>
        <w:left w:val="none" w:sz="0" w:space="0" w:color="auto"/>
        <w:bottom w:val="none" w:sz="0" w:space="0" w:color="auto"/>
        <w:right w:val="none" w:sz="0" w:space="0" w:color="auto"/>
      </w:divBdr>
    </w:div>
    <w:div w:id="210136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osur.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osur.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F1DD5605305742836F38E7F462C625" ma:contentTypeVersion="9" ma:contentTypeDescription="Create a new document." ma:contentTypeScope="" ma:versionID="9e772a31254176b3ebea5ec3f97011d4">
  <xsd:schema xmlns:xsd="http://www.w3.org/2001/XMLSchema" xmlns:xs="http://www.w3.org/2001/XMLSchema" xmlns:p="http://schemas.microsoft.com/office/2006/metadata/properties" xmlns:ns3="6cb4dad9-7223-4f88-a816-6c4ab3db3823" targetNamespace="http://schemas.microsoft.com/office/2006/metadata/properties" ma:root="true" ma:fieldsID="b02ea3ca2f11cc21055f67aee75215ee" ns3:_="">
    <xsd:import namespace="6cb4dad9-7223-4f88-a816-6c4ab3db38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4dad9-7223-4f88-a816-6c4ab3db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DCEDD-3167-4D55-A23E-507B3B9B4787}">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DFB1B8F1-ECCC-4BAA-9587-575BAAA0B401}">
  <ds:schemaRefs>
    <ds:schemaRef ds:uri="http://schemas.microsoft.com/office/2006/metadata/contentType"/>
    <ds:schemaRef ds:uri="http://schemas.microsoft.com/office/2006/metadata/properties/metaAttributes"/>
    <ds:schemaRef ds:uri="http://www.w3.org/2000/xmlns/"/>
    <ds:schemaRef ds:uri="http://www.w3.org/2001/XMLSchema"/>
    <ds:schemaRef ds:uri="6cb4dad9-7223-4f88-a816-6c4ab3db3823"/>
  </ds:schemaRefs>
</ds:datastoreItem>
</file>

<file path=customXml/itemProps3.xml><?xml version="1.0" encoding="utf-8"?>
<ds:datastoreItem xmlns:ds="http://schemas.openxmlformats.org/officeDocument/2006/customXml" ds:itemID="{EA066F14-D424-4804-9F46-D8582D37E5C9}">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21F329B-102E-4D50-A10A-6E259F762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Memery Crystal LLP</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castro</dc:creator>
  <cp:keywords/>
  <dc:description/>
  <cp:lastModifiedBy>Devik Mehta</cp:lastModifiedBy>
  <cp:revision>2</cp:revision>
  <cp:lastPrinted>2022-09-30T11:53:00Z</cp:lastPrinted>
  <dcterms:created xsi:type="dcterms:W3CDTF">2026-01-23T17:36:00Z</dcterms:created>
  <dcterms:modified xsi:type="dcterms:W3CDTF">2026-01-23T17:36:00Z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0x01010080F1DD5605305742836F38E7F462C625</vt:lpwstr>
  </property>
</Properties>
</file>